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after="80"/>
        <w:jc w:val="center"/>
      </w:pPr>
      <w:r>
        <w:rPr>
          <w:rFonts w:ascii="Times New Roman" w:hAnsi="Times New Roman" w:eastAsia="仿宋"/>
          <w:b/>
          <w:sz w:val="38"/>
        </w:rPr>
        <w:t>高管隐瞒利润与投资者责任备忘录</w:t>
      </w:r>
    </w:p>
    <w:p>
      <w:pPr>
        <w:spacing w:after="320"/>
        <w:jc w:val="center"/>
      </w:pPr>
      <w:r>
        <w:rPr>
          <w:rFonts w:ascii="Times New Roman" w:hAnsi="Times New Roman" w:eastAsia="仿宋"/>
          <w:b/>
          <w:sz w:val="24"/>
        </w:rPr>
        <w:t>——投资者责任三档 · 串通与可撤销的分界 · 损失向谁主张（三篇合订）</w:t>
      </w:r>
    </w:p>
    <w:p>
      <w:pPr>
        <w:spacing w:after="40"/>
        <w:jc w:val="center"/>
      </w:pPr>
      <w:r>
        <w:rPr>
          <w:rFonts w:ascii="Times New Roman" w:hAnsi="Times New Roman" w:eastAsia="仿宋"/>
          <w:b w:val="0"/>
          <w:color w:val="555555"/>
          <w:sz w:val="22"/>
        </w:rPr>
        <w:t>谭棉花律师法律文书库 · 研究专栏</w:t>
      </w:r>
    </w:p>
    <w:p>
      <w:pPr>
        <w:spacing w:after="100"/>
        <w:jc w:val="center"/>
      </w:pPr>
      <w:r>
        <w:rPr>
          <w:rFonts w:ascii="Times New Roman" w:hAnsi="Times New Roman" w:eastAsia="仿宋"/>
          <w:b w:val="0"/>
          <w:color w:val="555555"/>
          <w:sz w:val="20"/>
        </w:rPr>
        <w:t>本备忘录为网站三篇系列文章的合订版，免费提供，仅供参考学习之用，不构成对任何具体事项的法律意见。所引条文以写作时检索的现行有效版本为准。</w:t>
      </w:r>
    </w:p>
    <w:p/>
    <w:p>
      <w:pPr>
        <w:spacing w:before="360" w:after="120"/>
      </w:pPr>
      <w:r>
        <w:rPr>
          <w:rFonts w:ascii="Times New Roman" w:hAnsi="Times New Roman" w:eastAsia="仿宋"/>
          <w:b/>
          <w:sz w:val="30"/>
        </w:rPr>
        <w:t>第一篇　总经理隐瞒利润，股东低价让出股权：投资者的责任分三档。</w:t>
      </w:r>
    </w:p>
    <w:p>
      <w:pPr>
        <w:spacing w:before="160" w:after="80"/>
      </w:pPr>
      <w:r>
        <w:rPr>
          <w:rFonts w:ascii="Times New Roman" w:hAnsi="Times New Roman" w:eastAsia="仿宋"/>
          <w:b/>
          <w:sz w:val="26"/>
        </w:rPr>
        <w:t>一、先讲一个情景</w:t>
      </w:r>
    </w:p>
    <w:p>
      <w:pPr>
        <w:spacing w:after="100"/>
      </w:pPr>
      <w:r>
        <w:rPr>
          <w:rFonts w:ascii="Times New Roman" w:hAnsi="Times New Roman" w:eastAsia="仿宋"/>
          <w:b w:val="0"/>
          <w:sz w:val="22"/>
        </w:rPr>
        <w:t>为便于说明，设一个虚构的情景：一家有限责任公司有三位股东，都不参与日常经营，公司交给聘来的总经理打理。总经理每年向股东报送经营数字——报上来的年度利润是 300 万元，而公司的实际利润是 1200 万元。股东们以报送的数字为基础，同意按 3000 万元的整体估值，把合计 30% 的股权转让给总经理介绍来的一位投资者。一年多以后，一位股东查账，才看到真实的利润。（本情景纯属示意，人物与数字均为虚构。）</w:t>
      </w:r>
    </w:p>
    <w:p>
      <w:pPr>
        <w:spacing w:after="100"/>
      </w:pPr>
      <w:r>
        <w:rPr>
          <w:rFonts w:ascii="Times New Roman" w:hAnsi="Times New Roman" w:eastAsia="仿宋"/>
          <w:b w:val="0"/>
          <w:sz w:val="22"/>
        </w:rPr>
        <w:t>摆在股东面前的问题至少三个：总经理的隐瞒在法律上算什么？已经签了、也过了户的股权转让合同，还算不算数？那位低价进来的投资者，要不要负责？</w:t>
      </w:r>
    </w:p>
    <w:p>
      <w:pPr>
        <w:spacing w:before="160" w:after="80"/>
      </w:pPr>
      <w:r>
        <w:rPr>
          <w:rFonts w:ascii="Times New Roman" w:hAnsi="Times New Roman" w:eastAsia="仿宋"/>
          <w:b/>
          <w:sz w:val="26"/>
        </w:rPr>
        <w:t>二、先把三个人的法律位置摆正</w:t>
      </w:r>
    </w:p>
    <w:p>
      <w:pPr>
        <w:spacing w:after="100"/>
      </w:pPr>
      <w:r>
        <w:rPr>
          <w:rFonts w:ascii="Times New Roman" w:hAnsi="Times New Roman" w:eastAsia="仿宋"/>
          <w:b w:val="0"/>
          <w:sz w:val="22"/>
        </w:rPr>
        <w:t>第一步不是找条文，而是看清这份合同是谁和谁签的。股权转让合同的当事人是出让股东和投资者；总经理没有在合同上签字，他在这份合同里的位置，是法律上所说的「第三人」。这个位置决定了后面的条文怎么适用。</w:t>
      </w:r>
    </w:p>
    <w:p>
      <w:pPr>
        <w:spacing w:after="100"/>
      </w:pPr>
      <w:r>
        <w:rPr>
          <w:rFonts w:ascii="Times New Roman" w:hAnsi="Times New Roman" w:eastAsia="仿宋"/>
          <w:b w:val="0"/>
          <w:sz w:val="22"/>
        </w:rPr>
        <w:t>总经理本人的义务并不含糊。经理属于《公司法》所称的高级管理人员（第二百六十五条第一项），对公司负有忠实义务和勤勉义务（第一百八十条），由董事会聘任、对董事会负责（第七十四条）。有限责任公司还应当按照章程规定的期限，把财务会计报告送交各股东（第二百零九条第一款）——股东给自己的股权定价时依赖的数字，正是沿着这条渠道到手的。</w:t>
      </w:r>
    </w:p>
    <w:p>
      <w:pPr>
        <w:spacing w:after="100"/>
      </w:pPr>
      <w:r>
        <w:rPr>
          <w:rFonts w:ascii="Times New Roman" w:hAnsi="Times New Roman" w:eastAsia="仿宋"/>
          <w:b w:val="0"/>
          <w:color w:val="333333"/>
          <w:sz w:val="21"/>
        </w:rPr>
        <w:t>【要点】故意告知虚假情况，或者负有告知义务的人故意隐瞒真实情况，致使当事人基于错误认识作出意思表示的，人民法院可以认定为民法典第一百四十八条、第一百四十九条规定的欺诈。——《民法典总则编解释》第二十一条</w:t>
      </w:r>
    </w:p>
    <w:p>
      <w:pPr>
        <w:spacing w:after="100"/>
      </w:pPr>
      <w:r>
        <w:rPr>
          <w:rFonts w:ascii="Times New Roman" w:hAnsi="Times New Roman" w:eastAsia="仿宋"/>
          <w:b w:val="0"/>
          <w:sz w:val="22"/>
        </w:rPr>
        <w:t>对照这一条，总经理故意把利润压低了报给股东、股东据此定价，有被认定为欺诈的空间。但「构成欺诈」和「合同可以撤销」之间还隔着一步，因为实施欺诈的人不是合同的相对方：</w:t>
      </w:r>
    </w:p>
    <w:p>
      <w:pPr>
        <w:spacing w:after="100"/>
      </w:pPr>
      <w:r>
        <w:rPr>
          <w:rFonts w:ascii="Times New Roman" w:hAnsi="Times New Roman" w:eastAsia="仿宋"/>
          <w:b w:val="0"/>
          <w:color w:val="333333"/>
          <w:sz w:val="21"/>
        </w:rPr>
        <w:t>【要点】第三人实施欺诈行为，使一方在违背真实意思的情况下实施的民事法律行为，对方知道或者应当知道该欺诈行为的，受欺诈方有权请求人民法院或者仲裁机构予以撤销。——《民法典》第一百四十九条</w:t>
      </w:r>
    </w:p>
    <w:p>
      <w:pPr>
        <w:spacing w:after="100"/>
      </w:pPr>
      <w:r>
        <w:rPr>
          <w:rFonts w:ascii="Times New Roman" w:hAnsi="Times New Roman" w:eastAsia="仿宋"/>
          <w:b w:val="0"/>
          <w:sz w:val="22"/>
        </w:rPr>
        <w:t>如果欺诈来自合同相对方本人，适用的是第一百四十八条，受欺诈方直接享有撤销权；欺诈来自第三人时，第一百四十九条多加了一个条件——对方知道或者应当知道。投资者要不要负责，主要就看这八个字。</w:t>
      </w:r>
    </w:p>
    <w:p>
      <w:pPr>
        <w:spacing w:before="160" w:after="80"/>
      </w:pPr>
      <w:r>
        <w:rPr>
          <w:rFonts w:ascii="Times New Roman" w:hAnsi="Times New Roman" w:eastAsia="仿宋"/>
          <w:b/>
          <w:sz w:val="26"/>
        </w:rPr>
        <w:t>三、三档责任：一张表</w:t>
      </w:r>
    </w:p>
    <w:tbl>
      <w:tblPr>
        <w:tblStyle w:val="TableGrid"/>
        <w:tblW w:type="auto" w:w="0"/>
        <w:tblLook w:firstColumn="1" w:firstRow="1" w:lastColumn="0" w:lastRow="0" w:noHBand="0" w:noVBand="1" w:val="04A0"/>
      </w:tblPr>
      <w:tblGrid>
        <w:gridCol w:w="2266"/>
        <w:gridCol w:w="2266"/>
        <w:gridCol w:w="2266"/>
        <w:gridCol w:w="2266"/>
      </w:tblGrid>
      <w:tr>
        <w:tc>
          <w:tcPr>
            <w:tcW w:type="dxa" w:w="2266"/>
          </w:tcPr>
          <w:p>
            <w:r>
              <w:rPr>
                <w:rFonts w:ascii="Times New Roman" w:hAnsi="Times New Roman" w:eastAsia="仿宋"/>
                <w:b/>
                <w:sz w:val="20"/>
              </w:rPr>
              <w:t>投资者的状态</w:t>
            </w:r>
          </w:p>
        </w:tc>
        <w:tc>
          <w:tcPr>
            <w:tcW w:type="dxa" w:w="2266"/>
          </w:tcPr>
          <w:p>
            <w:r>
              <w:rPr>
                <w:rFonts w:ascii="Times New Roman" w:hAnsi="Times New Roman" w:eastAsia="仿宋"/>
                <w:b/>
                <w:sz w:val="20"/>
              </w:rPr>
              <w:t>合同效力</w:t>
            </w:r>
          </w:p>
        </w:tc>
        <w:tc>
          <w:tcPr>
            <w:tcW w:type="dxa" w:w="2266"/>
          </w:tcPr>
          <w:p>
            <w:r>
              <w:rPr>
                <w:rFonts w:ascii="Times New Roman" w:hAnsi="Times New Roman" w:eastAsia="仿宋"/>
                <w:b/>
                <w:sz w:val="20"/>
              </w:rPr>
              <w:t>投资者可能承担的后果</w:t>
            </w:r>
          </w:p>
        </w:tc>
        <w:tc>
          <w:tcPr>
            <w:tcW w:type="dxa" w:w="2266"/>
          </w:tcPr>
          <w:p>
            <w:r>
              <w:rPr>
                <w:rFonts w:ascii="Times New Roman" w:hAnsi="Times New Roman" w:eastAsia="仿宋"/>
                <w:b/>
                <w:sz w:val="20"/>
              </w:rPr>
              <w:t>股东主要向谁主张</w:t>
            </w:r>
          </w:p>
        </w:tc>
      </w:tr>
      <w:tr>
        <w:tc>
          <w:tcPr>
            <w:tcW w:type="dxa" w:w="2266"/>
          </w:tcPr>
          <w:p>
            <w:r>
              <w:rPr>
                <w:rFonts w:ascii="Times New Roman" w:hAnsi="Times New Roman" w:eastAsia="仿宋"/>
                <w:b w:val="0"/>
                <w:sz w:val="20"/>
              </w:rPr>
              <w:t>不知情，也没有理由知道</w:t>
            </w:r>
          </w:p>
        </w:tc>
        <w:tc>
          <w:tcPr>
            <w:tcW w:type="dxa" w:w="2266"/>
          </w:tcPr>
          <w:p>
            <w:r>
              <w:rPr>
                <w:rFonts w:ascii="Times New Roman" w:hAnsi="Times New Roman" w:eastAsia="仿宋"/>
                <w:b w:val="0"/>
                <w:sz w:val="20"/>
              </w:rPr>
              <w:t>有效，不因总经理的欺诈而可撤销</w:t>
            </w:r>
          </w:p>
        </w:tc>
        <w:tc>
          <w:tcPr>
            <w:tcW w:type="dxa" w:w="2266"/>
          </w:tcPr>
          <w:p>
            <w:r>
              <w:rPr>
                <w:rFonts w:ascii="Times New Roman" w:hAnsi="Times New Roman" w:eastAsia="仿宋"/>
                <w:b w:val="0"/>
                <w:sz w:val="20"/>
              </w:rPr>
              <w:t>通常不承担责任</w:t>
            </w:r>
          </w:p>
        </w:tc>
        <w:tc>
          <w:tcPr>
            <w:tcW w:type="dxa" w:w="2266"/>
          </w:tcPr>
          <w:p>
            <w:r>
              <w:rPr>
                <w:rFonts w:ascii="Times New Roman" w:hAnsi="Times New Roman" w:eastAsia="仿宋"/>
                <w:b w:val="0"/>
                <w:sz w:val="20"/>
              </w:rPr>
              <w:t>总经理</w:t>
            </w:r>
          </w:p>
        </w:tc>
      </w:tr>
      <w:tr>
        <w:tc>
          <w:tcPr>
            <w:tcW w:type="dxa" w:w="2266"/>
          </w:tcPr>
          <w:p>
            <w:r>
              <w:rPr>
                <w:rFonts w:ascii="Times New Roman" w:hAnsi="Times New Roman" w:eastAsia="仿宋"/>
                <w:b w:val="0"/>
                <w:sz w:val="20"/>
              </w:rPr>
              <w:t>知道或者应当知道总经理在隐瞒</w:t>
            </w:r>
          </w:p>
        </w:tc>
        <w:tc>
          <w:tcPr>
            <w:tcW w:type="dxa" w:w="2266"/>
          </w:tcPr>
          <w:p>
            <w:r>
              <w:rPr>
                <w:rFonts w:ascii="Times New Roman" w:hAnsi="Times New Roman" w:eastAsia="仿宋"/>
                <w:b w:val="0"/>
                <w:sz w:val="20"/>
              </w:rPr>
              <w:t>可撤销，受一年和五年期间限制</w:t>
            </w:r>
          </w:p>
        </w:tc>
        <w:tc>
          <w:tcPr>
            <w:tcW w:type="dxa" w:w="2266"/>
          </w:tcPr>
          <w:p>
            <w:r>
              <w:rPr>
                <w:rFonts w:ascii="Times New Roman" w:hAnsi="Times New Roman" w:eastAsia="仿宋"/>
                <w:b w:val="0"/>
                <w:sz w:val="20"/>
              </w:rPr>
              <w:t>返还股权；有过错的赔偿损失；自己也隐瞒重要事实的，另有缔约过失责任</w:t>
            </w:r>
          </w:p>
        </w:tc>
        <w:tc>
          <w:tcPr>
            <w:tcW w:type="dxa" w:w="2266"/>
          </w:tcPr>
          <w:p>
            <w:r>
              <w:rPr>
                <w:rFonts w:ascii="Times New Roman" w:hAnsi="Times New Roman" w:eastAsia="仿宋"/>
                <w:b w:val="0"/>
                <w:sz w:val="20"/>
              </w:rPr>
              <w:t>总经理与投资者</w:t>
            </w:r>
          </w:p>
        </w:tc>
      </w:tr>
      <w:tr>
        <w:tc>
          <w:tcPr>
            <w:tcW w:type="dxa" w:w="2266"/>
          </w:tcPr>
          <w:p>
            <w:r>
              <w:rPr>
                <w:rFonts w:ascii="Times New Roman" w:hAnsi="Times New Roman" w:eastAsia="仿宋"/>
                <w:b w:val="0"/>
                <w:sz w:val="20"/>
              </w:rPr>
              <w:t>与总经理串通，或本身是总经理的关联方</w:t>
            </w:r>
          </w:p>
        </w:tc>
        <w:tc>
          <w:tcPr>
            <w:tcW w:type="dxa" w:w="2266"/>
          </w:tcPr>
          <w:p>
            <w:r>
              <w:rPr>
                <w:rFonts w:ascii="Times New Roman" w:hAnsi="Times New Roman" w:eastAsia="仿宋"/>
                <w:b w:val="0"/>
                <w:sz w:val="20"/>
              </w:rPr>
              <w:t>可撤销；特定结构下可能无效（第二篇）</w:t>
            </w:r>
          </w:p>
        </w:tc>
        <w:tc>
          <w:tcPr>
            <w:tcW w:type="dxa" w:w="2266"/>
          </w:tcPr>
          <w:p>
            <w:r>
              <w:rPr>
                <w:rFonts w:ascii="Times New Roman" w:hAnsi="Times New Roman" w:eastAsia="仿宋"/>
                <w:b w:val="0"/>
                <w:sz w:val="20"/>
              </w:rPr>
              <w:t>有与总经理承担连带责任的风险</w:t>
            </w:r>
          </w:p>
        </w:tc>
        <w:tc>
          <w:tcPr>
            <w:tcW w:type="dxa" w:w="2266"/>
          </w:tcPr>
          <w:p>
            <w:r>
              <w:rPr>
                <w:rFonts w:ascii="Times New Roman" w:hAnsi="Times New Roman" w:eastAsia="仿宋"/>
                <w:b w:val="0"/>
                <w:sz w:val="20"/>
              </w:rPr>
              <w:t>总经理与投资者</w:t>
            </w:r>
          </w:p>
        </w:tc>
      </w:tr>
    </w:tbl>
    <w:p>
      <w:pPr>
        <w:spacing w:after="40"/>
      </w:pPr>
    </w:p>
    <w:p>
      <w:pPr>
        <w:spacing w:after="100"/>
      </w:pPr>
      <w:r>
        <w:rPr>
          <w:rFonts w:ascii="Times New Roman" w:hAnsi="Times New Roman" w:eastAsia="仿宋"/>
          <w:b w:val="0"/>
          <w:color w:val="333333"/>
          <w:sz w:val="21"/>
        </w:rPr>
        <w:t>【说明】需要如实交代：本文写作时，未检索到最高人民法院就「高管隐瞒利润致股东低价转让、受让人应否担责」这一情形直接表态的指导性案例。上面的三档，是从条文和相近裁判里整理出来的分析框架，不是法定分类；个案的结论取决于证据。</w:t>
      </w:r>
    </w:p>
    <w:p>
      <w:pPr>
        <w:spacing w:before="160" w:after="80"/>
      </w:pPr>
      <w:r>
        <w:rPr>
          <w:rFonts w:ascii="Times New Roman" w:hAnsi="Times New Roman" w:eastAsia="仿宋"/>
          <w:b/>
          <w:sz w:val="26"/>
        </w:rPr>
        <w:t>四、第一档：投资者不知情</w:t>
      </w:r>
    </w:p>
    <w:p>
      <w:pPr>
        <w:spacing w:after="100"/>
      </w:pPr>
      <w:r>
        <w:rPr>
          <w:rFonts w:ascii="Times New Roman" w:hAnsi="Times New Roman" w:eastAsia="仿宋"/>
          <w:b w:val="0"/>
          <w:sz w:val="22"/>
        </w:rPr>
        <w:t>投资者对总经理的隐瞒既不知道、也没有理由知道的，第一百四十九条的条件不满足，股东不能以受欺诈为由撤销合同。股权留在投资者手里，股东的损失要向总经理主张（第三篇）。</w:t>
      </w:r>
    </w:p>
    <w:p>
      <w:pPr>
        <w:spacing w:after="100"/>
      </w:pPr>
      <w:r>
        <w:rPr>
          <w:rFonts w:ascii="Times New Roman" w:hAnsi="Times New Roman" w:eastAsia="仿宋"/>
          <w:b w:val="0"/>
          <w:sz w:val="22"/>
        </w:rPr>
        <w:t>股东可能想到另外两条路，但都不宽。</w:t>
      </w:r>
    </w:p>
    <w:p>
      <w:pPr>
        <w:spacing w:after="100"/>
      </w:pPr>
      <w:r>
        <w:rPr>
          <w:rFonts w:ascii="Times New Roman" w:hAnsi="Times New Roman" w:eastAsia="仿宋"/>
          <w:b w:val="0"/>
          <w:sz w:val="22"/>
        </w:rPr>
        <w:t>重大误解。对价格的错误认识，可以构成重大误解（《民法典》第一百四十七条、《民法典总则编解释》第十九条）。但这条路的撤销权期间只有九十日，自知道或者应当知道撤销事由之日起算（第一百五十二条）；而且，一方是因为第三人欺诈才陷入错误的，能不能绕开第一百四十九条改走重大误解，本文写作时未检索到明确的规则，结论不宜说满。</w:t>
      </w:r>
    </w:p>
    <w:p>
      <w:pPr>
        <w:spacing w:after="100"/>
      </w:pPr>
      <w:r>
        <w:rPr>
          <w:rFonts w:ascii="Times New Roman" w:hAnsi="Times New Roman" w:eastAsia="仿宋"/>
          <w:b w:val="0"/>
          <w:sz w:val="22"/>
        </w:rPr>
        <w:t>显失公平。第一百五十一条要求两件事同时成立：一方利用对方处于危困状态、缺乏判断能力等情形，并且法律行为成立时显失公平。价格偏低只满足后一半。</w:t>
      </w:r>
    </w:p>
    <w:p>
      <w:pPr>
        <w:spacing w:after="100"/>
      </w:pPr>
      <w:r>
        <w:rPr>
          <w:rFonts w:ascii="Times New Roman" w:hAnsi="Times New Roman" w:eastAsia="仿宋"/>
          <w:b w:val="0"/>
          <w:sz w:val="22"/>
        </w:rPr>
        <w:t>法院对出让股东抱有什么期待，可以从两份裁判里看出来。</w:t>
      </w:r>
    </w:p>
    <w:p>
      <w:pPr>
        <w:spacing w:after="100"/>
      </w:pPr>
      <w:r>
        <w:rPr>
          <w:rFonts w:ascii="Times New Roman" w:hAnsi="Times New Roman" w:eastAsia="仿宋"/>
          <w:b w:val="0"/>
          <w:sz w:val="22"/>
        </w:rPr>
        <w:t>一份是刊载于《最高人民法院公报》的江苏省高级人民法院（2005）苏民二初字第 0009 号案。出让方事后主张，受让方隐瞒公司土地增值的情况、低价收购其股份，构成价格欺诈和显失公平。法院没有支持，理由包括：转让价格的计算方案是出让方自己提出、经双方协商确定的；出让方身为公司的董事、股东，对公司的情况应当了解，事实上也已知悉土地升值；其据以主张的盈利预测报告只是一种预测，不能等同于公司的实际财产情况和股权的实际价值。</w:t>
      </w:r>
    </w:p>
    <w:p>
      <w:pPr>
        <w:spacing w:after="100"/>
      </w:pPr>
      <w:r>
        <w:rPr>
          <w:rFonts w:ascii="Times New Roman" w:hAnsi="Times New Roman" w:eastAsia="仿宋"/>
          <w:b w:val="0"/>
          <w:sz w:val="22"/>
        </w:rPr>
        <w:t>另一份是安徽省滁州市中级人民法院（2021）皖 11 民终 1190 号二审判决。法院指出，股权转让价格主要取决于双方当事人的协商一致，法律并未规定股权转让必须以评估、审计结果作为定价依据；出让方作为公司股东，对公司的资产状况、债权债务应当清晰，在转让股权时对股权价值应当有自己的判断。</w:t>
      </w:r>
    </w:p>
    <w:p>
      <w:pPr>
        <w:spacing w:after="100"/>
      </w:pPr>
      <w:r>
        <w:rPr>
          <w:rFonts w:ascii="Times New Roman" w:hAnsi="Times New Roman" w:eastAsia="仿宋"/>
          <w:b w:val="0"/>
          <w:sz w:val="22"/>
        </w:rPr>
        <w:t>两份裁判里的出让方，要么本人就是董事，要么对公司的状况本来就清楚。本专题情景里的股东不参与经营，信息来自总经理的报送——这正是总经理的隐瞒之所以要紧的原因，也是第三篇要专门讲查账权的原因。但这一层差别帮的是股东向总经理追责，并不自动让不知情的投资者承担责任。</w:t>
      </w:r>
    </w:p>
    <w:p>
      <w:pPr>
        <w:spacing w:after="100"/>
      </w:pPr>
      <w:r>
        <w:rPr>
          <w:rFonts w:ascii="Times New Roman" w:hAnsi="Times New Roman" w:eastAsia="仿宋"/>
          <w:b w:val="0"/>
          <w:sz w:val="22"/>
        </w:rPr>
        <w:t>还有一层容易被忽略：即便合同最终被撤销，《民法典》第一百五十七条的规则是返还财产、有过错的一方赔偿对方由此受到的损失。善意的投资者因此可以主张自己的损失，而不只是被动退出。</w:t>
      </w:r>
    </w:p>
    <w:p>
      <w:pPr>
        <w:spacing w:before="160" w:after="80"/>
      </w:pPr>
      <w:r>
        <w:rPr>
          <w:rFonts w:ascii="Times New Roman" w:hAnsi="Times New Roman" w:eastAsia="仿宋"/>
          <w:b/>
          <w:sz w:val="26"/>
        </w:rPr>
        <w:t>五、第二档：知道，或者应当知道</w:t>
      </w:r>
    </w:p>
    <w:p>
      <w:pPr>
        <w:spacing w:after="100"/>
      </w:pPr>
      <w:r>
        <w:rPr>
          <w:rFonts w:ascii="Times New Roman" w:hAnsi="Times New Roman" w:eastAsia="仿宋"/>
          <w:b w:val="0"/>
          <w:sz w:val="22"/>
        </w:rPr>
        <w:t>「知道」不难理解：投资者事先就清楚，总经理报给股东的数字是压低过的。「应当知道」则没有条文给出清单。以下几类事实，是本文认为会被拿来论证「应当知道」的因素——这是分析，不是裁判规则：</w:t>
      </w:r>
    </w:p>
    <w:p>
      <w:pPr>
        <w:spacing w:after="100"/>
      </w:pPr>
      <w:r>
        <w:rPr>
          <w:rFonts w:ascii="Times New Roman" w:hAnsi="Times New Roman" w:eastAsia="仿宋"/>
          <w:b w:val="0"/>
          <w:sz w:val="22"/>
        </w:rPr>
        <w:t>· 投资者在交易前接触过公司的真实账目或经营数据，而这些数据与股东手里的报表明显不同；</w:t>
      </w:r>
    </w:p>
    <w:p>
      <w:pPr>
        <w:spacing w:after="100"/>
      </w:pPr>
      <w:r>
        <w:rPr>
          <w:rFonts w:ascii="Times New Roman" w:hAnsi="Times New Roman" w:eastAsia="仿宋"/>
          <w:b w:val="0"/>
          <w:sz w:val="22"/>
        </w:rPr>
        <w:t>· 投资者掌握的信息与成交价格明显不相称，却没有作任何核实或者说明；</w:t>
      </w:r>
    </w:p>
    <w:p>
      <w:pPr>
        <w:spacing w:after="100"/>
      </w:pPr>
      <w:r>
        <w:rPr>
          <w:rFonts w:ascii="Times New Roman" w:hAnsi="Times New Roman" w:eastAsia="仿宋"/>
          <w:b w:val="0"/>
          <w:sz w:val="22"/>
        </w:rPr>
        <w:t>· 总经理同时替双方传话、谈价，投资者的信息主要来自总经理的私下提供。</w:t>
      </w:r>
    </w:p>
    <w:p>
      <w:pPr>
        <w:spacing w:after="100"/>
      </w:pPr>
      <w:r>
        <w:rPr>
          <w:rFonts w:ascii="Times New Roman" w:hAnsi="Times New Roman" w:eastAsia="仿宋"/>
          <w:b w:val="0"/>
          <w:sz w:val="22"/>
        </w:rPr>
        <w:t>落入这一档，股东可以依第一百四十九条请求撤销。撤销之后按第一百五十七条处理：股权返还，有过错的一方赔偿损失。如果投资者自己在谈判中也「故意隐瞒与订立合同有关的重要事实或者提供虚假情况」，还落入第五百条第二项的缔约过失责任。</w:t>
      </w:r>
    </w:p>
    <w:p>
      <w:pPr>
        <w:spacing w:after="100"/>
      </w:pPr>
      <w:r>
        <w:rPr>
          <w:rFonts w:ascii="Times New Roman" w:hAnsi="Times New Roman" w:eastAsia="仿宋"/>
          <w:b w:val="0"/>
          <w:sz w:val="22"/>
        </w:rPr>
        <w:t>这一档还有一种可能的「升级」。最高人民法院（2021）最高法民申 1599 号再审审查裁定处理的是一起方向相反的案件：目标公司存在虚增银行存款、利润情况不真实等情形，受让方请求撤销。一审按第三人欺诈处理，二审改为相对人欺诈；最高人民法院认为，原审把实际控制人所为的欺诈行为视为出让股东的行为、认定构成相对人欺诈，并无不当。（该案适用当时的法律，相对人欺诈的规则与现行《民法典》第一百四十八条一致。）</w:t>
      </w:r>
    </w:p>
    <w:p>
      <w:pPr>
        <w:spacing w:after="100"/>
      </w:pPr>
      <w:r>
        <w:rPr>
          <w:rFonts w:ascii="Times New Roman" w:hAnsi="Times New Roman" w:eastAsia="仿宋"/>
          <w:b w:val="0"/>
          <w:sz w:val="22"/>
        </w:rPr>
        <w:t>放到本专题里，它的启发是：「第三人」这个位置不是固定的。总经理如果实际上是替投资者一方行事，他的隐瞒就可能被直接算作投资者一方的欺诈，回到第一百四十八条，股东不必再去证明「投资者知道」。这是从方向相反的案件作出的类比，个案能否适用，仍要看总经理与投资者之间关系的证据。</w:t>
      </w:r>
    </w:p>
    <w:p>
      <w:pPr>
        <w:spacing w:before="160" w:after="80"/>
      </w:pPr>
      <w:r>
        <w:rPr>
          <w:rFonts w:ascii="Times New Roman" w:hAnsi="Times New Roman" w:eastAsia="仿宋"/>
          <w:b/>
          <w:sz w:val="26"/>
        </w:rPr>
        <w:t>六、第三档：串通，或者本身就是关联方</w:t>
      </w:r>
    </w:p>
    <w:p>
      <w:pPr>
        <w:spacing w:after="100"/>
      </w:pPr>
      <w:r>
        <w:rPr>
          <w:rFonts w:ascii="Times New Roman" w:hAnsi="Times New Roman" w:eastAsia="仿宋"/>
          <w:b w:val="0"/>
          <w:sz w:val="22"/>
        </w:rPr>
        <w:t>《公司法》对关联关系的定义很宽：</w:t>
      </w:r>
    </w:p>
    <w:p>
      <w:pPr>
        <w:spacing w:after="100"/>
      </w:pPr>
      <w:r>
        <w:rPr>
          <w:rFonts w:ascii="Times New Roman" w:hAnsi="Times New Roman" w:eastAsia="仿宋"/>
          <w:b w:val="0"/>
          <w:color w:val="333333"/>
          <w:sz w:val="21"/>
        </w:rPr>
        <w:t>【要点】关联关系，是指公司控股股东、实际控制人、董事、监事、高级管理人员与其直接或者间接控制的企业之间的关系，以及可能导致公司利益转移的其他关系。——《公司法》第二百六十五条第四项（节录）</w:t>
      </w:r>
    </w:p>
    <w:p>
      <w:pPr>
        <w:spacing w:after="100"/>
      </w:pPr>
      <w:r>
        <w:rPr>
          <w:rFonts w:ascii="Times New Roman" w:hAnsi="Times New Roman" w:eastAsia="仿宋"/>
          <w:b w:val="0"/>
          <w:sz w:val="22"/>
        </w:rPr>
        <w:t>投资者如果是总经理控制的企业、近亲属，或者与总经理之间另有利益安排，争议的重心就从「知不知道」变成「是不是一起做的」。后果也随之加重：</w:t>
      </w:r>
    </w:p>
    <w:p>
      <w:pPr>
        <w:spacing w:after="100"/>
      </w:pPr>
      <w:r>
        <w:rPr>
          <w:rFonts w:ascii="Times New Roman" w:hAnsi="Times New Roman" w:eastAsia="仿宋"/>
          <w:b w:val="0"/>
          <w:sz w:val="22"/>
        </w:rPr>
        <w:t>· 二人以上共同实施侵权行为造成他人损害的，承担连带责任；教唆、帮助他人实施侵权行为的，与行为人承担连带责任（《民法典》第一千一百六十八条、第一千一百六十九条第一款）；</w:t>
      </w:r>
    </w:p>
    <w:p>
      <w:pPr>
        <w:spacing w:after="100"/>
      </w:pPr>
      <w:r>
        <w:rPr>
          <w:rFonts w:ascii="Times New Roman" w:hAnsi="Times New Roman" w:eastAsia="仿宋"/>
          <w:b w:val="0"/>
          <w:sz w:val="22"/>
        </w:rPr>
        <w:t>· 如果总经理是受股东委托经办这笔转让的，还有一条更直接的规则：「代理人和相对人恶意串通，损害被代理人合法权益的，代理人和相对人应当承担连带责任」（《民法典》第一百六十四条第二款）。</w:t>
      </w:r>
    </w:p>
    <w:p>
      <w:pPr>
        <w:spacing w:after="100"/>
      </w:pPr>
      <w:r>
        <w:rPr>
          <w:rFonts w:ascii="Times New Roman" w:hAnsi="Times New Roman" w:eastAsia="仿宋"/>
          <w:b w:val="0"/>
          <w:sz w:val="22"/>
        </w:rPr>
        <w:t>法院认定串通时看重什么？最高人民法院（2019）最高法民申 4083 号再审审查裁定驳回了再审申请，认为原审认定股权转让合同无效并无明显不当。该案的几个事实是：转让价格远低于资产负债表对应的股权价值，受让人是出让人的近亲属，对交易背景知情。关联身份、明显低价、知情，这三样叠在一起，是需要认真对待的组合。（该案受损害的是合同之外的人，这一点为什么重要，见第二篇。）</w:t>
      </w:r>
    </w:p>
    <w:p>
      <w:pPr>
        <w:spacing w:after="100"/>
      </w:pPr>
      <w:r>
        <w:rPr>
          <w:rFonts w:ascii="Times New Roman" w:hAnsi="Times New Roman" w:eastAsia="仿宋"/>
          <w:b w:val="0"/>
          <w:sz w:val="22"/>
        </w:rPr>
        <w:t>总经理如果从投资者那里拿了好处，《公司法》另有规则：董事、监事、高级管理人员不得「利用职权贿赂或者收受其他非法收入」，不得有「违反对公司忠实义务的其他行为」（第一百八十一条第三项、第六项）；违反规定所得的收入应当归公司所有（第一百八十六条）。前面提到的（2021）皖 11 民终 1190 号案里，部分出让股东与受让人另行约定了额外利益，其中一人实际收到 2100 万元；法院以公平原则为据，认定这笔钱应由全体出让股东按股权比例享有，并判令收款人向起诉的股东支付相应份额。私下的好处，未必留得住。</w:t>
      </w:r>
    </w:p>
    <w:p>
      <w:pPr>
        <w:spacing w:after="100"/>
      </w:pPr>
      <w:r>
        <w:rPr>
          <w:rFonts w:ascii="Times New Roman" w:hAnsi="Times New Roman" w:eastAsia="仿宋"/>
          <w:b w:val="0"/>
          <w:sz w:val="22"/>
        </w:rPr>
        <w:t>需要提前说明的是：即便串通属实，多数情况下合同也不是「无效」，而是「可撤销」。这条分界线和它带来的期限问题，是第二篇的内容。</w:t>
      </w:r>
    </w:p>
    <w:p>
      <w:pPr>
        <w:spacing w:before="160" w:after="80"/>
      </w:pPr>
      <w:r>
        <w:rPr>
          <w:rFonts w:ascii="Times New Roman" w:hAnsi="Times New Roman" w:eastAsia="仿宋"/>
          <w:b/>
          <w:sz w:val="26"/>
        </w:rPr>
        <w:t>七、常见问答</w:t>
      </w:r>
    </w:p>
    <w:p>
      <w:pPr>
        <w:spacing w:before="80" w:after="40"/>
      </w:pPr>
      <w:r>
        <w:rPr>
          <w:rFonts w:ascii="Times New Roman" w:hAnsi="Times New Roman" w:eastAsia="仿宋"/>
          <w:b/>
          <w:sz w:val="22"/>
        </w:rPr>
        <w:t>Q：总经理确实隐瞒了利润，股权转让合同是不是就能撤销？</w:t>
      </w:r>
    </w:p>
    <w:p>
      <w:pPr>
        <w:spacing w:after="100"/>
      </w:pPr>
      <w:r>
        <w:rPr>
          <w:rFonts w:ascii="Times New Roman" w:hAnsi="Times New Roman" w:eastAsia="仿宋"/>
          <w:b w:val="0"/>
          <w:sz w:val="22"/>
        </w:rPr>
        <w:t>不一定。总经理不是合同当事人，适用的是《民法典》第一百四十九条：只有投资者知道或者应当知道这一欺诈，股东才有撤销权。投资者不知情的，合同有效，损失向总经理主张。</w:t>
      </w:r>
    </w:p>
    <w:p>
      <w:pPr>
        <w:spacing w:before="80" w:after="40"/>
      </w:pPr>
      <w:r>
        <w:rPr>
          <w:rFonts w:ascii="Times New Roman" w:hAnsi="Times New Roman" w:eastAsia="仿宋"/>
          <w:b/>
          <w:sz w:val="22"/>
        </w:rPr>
        <w:t>Q：价格明显偏低，能不能直接主张显失公平？</w:t>
      </w:r>
    </w:p>
    <w:p>
      <w:pPr>
        <w:spacing w:after="100"/>
      </w:pPr>
      <w:r>
        <w:rPr>
          <w:rFonts w:ascii="Times New Roman" w:hAnsi="Times New Roman" w:eastAsia="仿宋"/>
          <w:b w:val="0"/>
          <w:sz w:val="22"/>
        </w:rPr>
        <w:t>单凭价格不够。第一百五十一条还要求对方「利用」了出让方处于危困状态、缺乏判断能力等情形。从上文两份裁判看，法院倾向于认为股东对自己公司的价值应当有判断。</w:t>
      </w:r>
    </w:p>
    <w:p>
      <w:pPr>
        <w:spacing w:before="80" w:after="40"/>
      </w:pPr>
      <w:r>
        <w:rPr>
          <w:rFonts w:ascii="Times New Roman" w:hAnsi="Times New Roman" w:eastAsia="仿宋"/>
          <w:b/>
          <w:sz w:val="22"/>
        </w:rPr>
        <w:t>Q：投资者说自己不知情，由谁来证明？</w:t>
      </w:r>
    </w:p>
    <w:p>
      <w:pPr>
        <w:spacing w:after="100"/>
      </w:pPr>
      <w:r>
        <w:rPr>
          <w:rFonts w:ascii="Times New Roman" w:hAnsi="Times New Roman" w:eastAsia="仿宋"/>
          <w:b w:val="0"/>
          <w:sz w:val="22"/>
        </w:rPr>
        <w:t>由主张撤销的股东证明。而且欺诈、恶意串通事实的证明标准高于一般民事事实，要达到「排除合理怀疑」（《民诉法解释》第一百零九条）。第二篇展开。</w:t>
      </w:r>
    </w:p>
    <w:p>
      <w:pPr>
        <w:spacing w:before="80" w:after="40"/>
      </w:pPr>
      <w:r>
        <w:rPr>
          <w:rFonts w:ascii="Times New Roman" w:hAnsi="Times New Roman" w:eastAsia="仿宋"/>
          <w:b/>
          <w:sz w:val="22"/>
        </w:rPr>
        <w:t>Q：如果这笔交易是增资，而不是老股转让，结论一样吗？</w:t>
      </w:r>
    </w:p>
    <w:p>
      <w:pPr>
        <w:spacing w:after="100"/>
      </w:pPr>
      <w:r>
        <w:rPr>
          <w:rFonts w:ascii="Times New Roman" w:hAnsi="Times New Roman" w:eastAsia="仿宋"/>
          <w:b w:val="0"/>
          <w:sz w:val="22"/>
        </w:rPr>
        <w:t>不完全一样。增资合同的一方是公司，总经理如果代表公司经办，适用的规则和损失的归属都会变化，第二篇、第三篇分别说明。</w:t>
      </w:r>
    </w:p>
    <w:p>
      <w:pPr>
        <w:spacing w:before="160" w:after="80"/>
      </w:pPr>
      <w:r>
        <w:rPr>
          <w:rFonts w:ascii="Times New Roman" w:hAnsi="Times New Roman" w:eastAsia="仿宋"/>
          <w:b/>
          <w:sz w:val="26"/>
        </w:rPr>
        <w:t>本篇主要依据</w:t>
      </w:r>
    </w:p>
    <w:p>
      <w:pPr>
        <w:spacing w:after="100"/>
      </w:pPr>
      <w:r>
        <w:rPr>
          <w:rFonts w:ascii="Times New Roman" w:hAnsi="Times New Roman" w:eastAsia="仿宋"/>
          <w:b w:val="0"/>
          <w:sz w:val="22"/>
        </w:rPr>
        <w:t>· 《中华人民共和国民法典》（2021 年 1 月 1 日施行）第一百四十七条、第一百四十八条、第一百四十九条、第一百五十一条、第一百五十二条、第一百五十七条、第一百六十四条、第五百条、第一千一百六十八条、第一千一百六十九条</w:t>
      </w:r>
    </w:p>
    <w:p>
      <w:pPr>
        <w:spacing w:after="100"/>
      </w:pPr>
      <w:r>
        <w:rPr>
          <w:rFonts w:ascii="Times New Roman" w:hAnsi="Times New Roman" w:eastAsia="仿宋"/>
          <w:b w:val="0"/>
          <w:sz w:val="22"/>
        </w:rPr>
        <w:t>· 《最高人民法院关于适用〈中华人民共和国民法典〉总则编若干问题的解释》（法释〔2022〕6 号，2022 年 3 月 1 日施行）第十九条、第二十一条</w:t>
      </w:r>
    </w:p>
    <w:p>
      <w:pPr>
        <w:spacing w:after="100"/>
      </w:pPr>
      <w:r>
        <w:rPr>
          <w:rFonts w:ascii="Times New Roman" w:hAnsi="Times New Roman" w:eastAsia="仿宋"/>
          <w:b w:val="0"/>
          <w:sz w:val="22"/>
        </w:rPr>
        <w:t>· 《中华人民共和国公司法》（2023 修订，2024 年 7 月 1 日施行）第七十四条、第一百八十条、第一百八十一条、第一百八十六条、第二百零九条、第二百六十五条</w:t>
      </w:r>
    </w:p>
    <w:p>
      <w:pPr>
        <w:spacing w:after="100"/>
      </w:pPr>
      <w:r>
        <w:rPr>
          <w:rFonts w:ascii="Times New Roman" w:hAnsi="Times New Roman" w:eastAsia="仿宋"/>
          <w:b w:val="0"/>
          <w:sz w:val="22"/>
        </w:rPr>
        <w:t>· 《最高人民法院关于适用〈中华人民共和国民事诉讼法〉的解释》（2022 修正）第一百零九条</w:t>
      </w:r>
    </w:p>
    <w:p>
      <w:pPr>
        <w:spacing w:after="100"/>
      </w:pPr>
      <w:r>
        <w:rPr>
          <w:rFonts w:ascii="Times New Roman" w:hAnsi="Times New Roman" w:eastAsia="仿宋"/>
          <w:b w:val="0"/>
          <w:sz w:val="22"/>
        </w:rPr>
        <w:t>· （2005）苏民二初字第 0009 号民事判决（《最高人民法院公报》案例）；（2021）皖 11 民终 1190 号二审民事判决；（2021）最高法民申 1599 号再审审查民事裁定；（2019）最高法民申 4083 号再审审查民事裁定</w:t>
      </w:r>
    </w:p>
    <w:p>
      <w:pPr>
        <w:spacing w:after="100"/>
      </w:pPr>
      <w:r>
        <w:rPr>
          <w:rFonts w:ascii="Times New Roman" w:hAnsi="Times New Roman" w:eastAsia="仿宋"/>
          <w:b w:val="0"/>
          <w:color w:val="333333"/>
          <w:sz w:val="21"/>
        </w:rPr>
        <w:t>【说明】本文为法律问题的研究与学习材料，免费提供，仅供参考学习之用，不构成对任何具体事项的法律意见。所引条文以写作时检索的现行有效版本为准，法律法规及监管口径可能变动，内容可能更新不及时或不准确。交易发生在现行《公司法》《民法典》施行之前的，应当按行为时的法律另行核对。具体事项请咨询您的律师。</w:t>
      </w:r>
    </w:p>
    <w:p>
      <w:pPr>
        <w:spacing w:before="360" w:after="120"/>
      </w:pPr>
      <w:r>
        <w:rPr>
          <w:rFonts w:ascii="Times New Roman" w:hAnsi="Times New Roman" w:eastAsia="仿宋"/>
          <w:b/>
          <w:sz w:val="30"/>
        </w:rPr>
        <w:t>第二篇　「串通」为什么多半不是无效：可撤销、期限与证明标准。</w:t>
      </w:r>
    </w:p>
    <w:p>
      <w:pPr>
        <w:spacing w:before="160" w:after="80"/>
      </w:pPr>
      <w:r>
        <w:rPr>
          <w:rFonts w:ascii="Times New Roman" w:hAnsi="Times New Roman" w:eastAsia="仿宋"/>
          <w:b/>
          <w:sz w:val="26"/>
        </w:rPr>
        <w:t>一、两个条文，管的不是一回事</w:t>
      </w:r>
    </w:p>
    <w:p>
      <w:pPr>
        <w:spacing w:after="100"/>
      </w:pPr>
      <w:r>
        <w:rPr>
          <w:rFonts w:ascii="Times New Roman" w:hAnsi="Times New Roman" w:eastAsia="仿宋"/>
          <w:b w:val="0"/>
          <w:color w:val="333333"/>
          <w:sz w:val="21"/>
        </w:rPr>
        <w:t>【要点】行为人与相对人恶意串通，损害他人合法权益的民事法律行为无效。——《民法典》第一百五十四条</w:t>
      </w:r>
    </w:p>
    <w:p>
      <w:pPr>
        <w:spacing w:after="100"/>
      </w:pPr>
      <w:r>
        <w:rPr>
          <w:rFonts w:ascii="Times New Roman" w:hAnsi="Times New Roman" w:eastAsia="仿宋"/>
          <w:b w:val="0"/>
          <w:sz w:val="22"/>
        </w:rPr>
        <w:t>把这句话的结构拆开：「行为人与相对人」是作出这个法律行为的双方，「他人」是这个法律行为之外的人。它管的是合同双方联手，损害合同之外的人。</w:t>
      </w:r>
    </w:p>
    <w:p>
      <w:pPr>
        <w:spacing w:after="100"/>
      </w:pPr>
      <w:r>
        <w:rPr>
          <w:rFonts w:ascii="Times New Roman" w:hAnsi="Times New Roman" w:eastAsia="仿宋"/>
          <w:b w:val="0"/>
          <w:sz w:val="22"/>
        </w:rPr>
        <w:t>回到第一篇的情景：合同双方是出让股东与投资者，总经理不是合同当事人，受损害的股东恰恰是合同的一方。即便总经理与投资者确有勾连，结构上也对不上「合同双方串通损害他人」。对得上的，是第一篇讲过的第一百四十九条——第三人实施欺诈，相对方知道或者应当知道。</w:t>
      </w:r>
    </w:p>
    <w:tbl>
      <w:tblPr>
        <w:tblStyle w:val="TableGrid"/>
        <w:tblW w:type="auto" w:w="0"/>
        <w:tblLook w:firstColumn="1" w:firstRow="1" w:lastColumn="0" w:lastRow="0" w:noHBand="0" w:noVBand="1" w:val="04A0"/>
      </w:tblPr>
      <w:tblGrid>
        <w:gridCol w:w="3022"/>
        <w:gridCol w:w="3022"/>
        <w:gridCol w:w="3022"/>
      </w:tblGrid>
      <w:tr>
        <w:tc>
          <w:tcPr>
            <w:tcW w:type="dxa" w:w="3022"/>
          </w:tcPr>
          <w:p>
            <w:r>
              <w:rPr>
                <w:rFonts w:ascii="Times New Roman" w:hAnsi="Times New Roman" w:eastAsia="仿宋"/>
                <w:b/>
                <w:sz w:val="20"/>
              </w:rPr>
            </w:r>
          </w:p>
        </w:tc>
        <w:tc>
          <w:tcPr>
            <w:tcW w:type="dxa" w:w="3022"/>
          </w:tcPr>
          <w:p>
            <w:r>
              <w:rPr>
                <w:rFonts w:ascii="Times New Roman" w:hAnsi="Times New Roman" w:eastAsia="仿宋"/>
                <w:b/>
                <w:sz w:val="20"/>
              </w:rPr>
              <w:t>第一百五十四条：恶意串通</w:t>
            </w:r>
          </w:p>
        </w:tc>
        <w:tc>
          <w:tcPr>
            <w:tcW w:type="dxa" w:w="3022"/>
          </w:tcPr>
          <w:p>
            <w:r>
              <w:rPr>
                <w:rFonts w:ascii="Times New Roman" w:hAnsi="Times New Roman" w:eastAsia="仿宋"/>
                <w:b/>
                <w:sz w:val="20"/>
              </w:rPr>
              <w:t>第一百四十九条：第三人欺诈</w:t>
            </w:r>
          </w:p>
        </w:tc>
      </w:tr>
      <w:tr>
        <w:tc>
          <w:tcPr>
            <w:tcW w:type="dxa" w:w="3022"/>
          </w:tcPr>
          <w:p>
            <w:r>
              <w:rPr>
                <w:rFonts w:ascii="Times New Roman" w:hAnsi="Times New Roman" w:eastAsia="仿宋"/>
                <w:b w:val="0"/>
                <w:sz w:val="20"/>
              </w:rPr>
              <w:t>谁与谁</w:t>
            </w:r>
          </w:p>
        </w:tc>
        <w:tc>
          <w:tcPr>
            <w:tcW w:type="dxa" w:w="3022"/>
          </w:tcPr>
          <w:p>
            <w:r>
              <w:rPr>
                <w:rFonts w:ascii="Times New Roman" w:hAnsi="Times New Roman" w:eastAsia="仿宋"/>
                <w:b w:val="0"/>
                <w:sz w:val="20"/>
              </w:rPr>
              <w:t>法律行为的双方当事人</w:t>
            </w:r>
          </w:p>
        </w:tc>
        <w:tc>
          <w:tcPr>
            <w:tcW w:type="dxa" w:w="3022"/>
          </w:tcPr>
          <w:p>
            <w:r>
              <w:rPr>
                <w:rFonts w:ascii="Times New Roman" w:hAnsi="Times New Roman" w:eastAsia="仿宋"/>
                <w:b w:val="0"/>
                <w:sz w:val="20"/>
              </w:rPr>
              <w:t>合同之外的第三人实施欺诈，相对方知道或者应当知道</w:t>
            </w:r>
          </w:p>
        </w:tc>
      </w:tr>
      <w:tr>
        <w:tc>
          <w:tcPr>
            <w:tcW w:type="dxa" w:w="3022"/>
          </w:tcPr>
          <w:p>
            <w:r>
              <w:rPr>
                <w:rFonts w:ascii="Times New Roman" w:hAnsi="Times New Roman" w:eastAsia="仿宋"/>
                <w:b w:val="0"/>
                <w:sz w:val="20"/>
              </w:rPr>
              <w:t>受损害的是谁</w:t>
            </w:r>
          </w:p>
        </w:tc>
        <w:tc>
          <w:tcPr>
            <w:tcW w:type="dxa" w:w="3022"/>
          </w:tcPr>
          <w:p>
            <w:r>
              <w:rPr>
                <w:rFonts w:ascii="Times New Roman" w:hAnsi="Times New Roman" w:eastAsia="仿宋"/>
                <w:b w:val="0"/>
                <w:sz w:val="20"/>
              </w:rPr>
              <w:t>法律行为之外的「他人」</w:t>
            </w:r>
          </w:p>
        </w:tc>
        <w:tc>
          <w:tcPr>
            <w:tcW w:type="dxa" w:w="3022"/>
          </w:tcPr>
          <w:p>
            <w:r>
              <w:rPr>
                <w:rFonts w:ascii="Times New Roman" w:hAnsi="Times New Roman" w:eastAsia="仿宋"/>
                <w:b w:val="0"/>
                <w:sz w:val="20"/>
              </w:rPr>
              <w:t>合同的一方当事人</w:t>
            </w:r>
          </w:p>
        </w:tc>
      </w:tr>
      <w:tr>
        <w:tc>
          <w:tcPr>
            <w:tcW w:type="dxa" w:w="3022"/>
          </w:tcPr>
          <w:p>
            <w:r>
              <w:rPr>
                <w:rFonts w:ascii="Times New Roman" w:hAnsi="Times New Roman" w:eastAsia="仿宋"/>
                <w:b w:val="0"/>
                <w:sz w:val="20"/>
              </w:rPr>
              <w:t>后果</w:t>
            </w:r>
          </w:p>
        </w:tc>
        <w:tc>
          <w:tcPr>
            <w:tcW w:type="dxa" w:w="3022"/>
          </w:tcPr>
          <w:p>
            <w:r>
              <w:rPr>
                <w:rFonts w:ascii="Times New Roman" w:hAnsi="Times New Roman" w:eastAsia="仿宋"/>
                <w:b w:val="0"/>
                <w:sz w:val="20"/>
              </w:rPr>
              <w:t>无效</w:t>
            </w:r>
          </w:p>
        </w:tc>
        <w:tc>
          <w:tcPr>
            <w:tcW w:type="dxa" w:w="3022"/>
          </w:tcPr>
          <w:p>
            <w:r>
              <w:rPr>
                <w:rFonts w:ascii="Times New Roman" w:hAnsi="Times New Roman" w:eastAsia="仿宋"/>
                <w:b w:val="0"/>
                <w:sz w:val="20"/>
              </w:rPr>
              <w:t>可撤销</w:t>
            </w:r>
          </w:p>
        </w:tc>
      </w:tr>
      <w:tr>
        <w:tc>
          <w:tcPr>
            <w:tcW w:type="dxa" w:w="3022"/>
          </w:tcPr>
          <w:p>
            <w:r>
              <w:rPr>
                <w:rFonts w:ascii="Times New Roman" w:hAnsi="Times New Roman" w:eastAsia="仿宋"/>
                <w:b w:val="0"/>
                <w:sz w:val="20"/>
              </w:rPr>
              <w:t>期间</w:t>
            </w:r>
          </w:p>
        </w:tc>
        <w:tc>
          <w:tcPr>
            <w:tcW w:type="dxa" w:w="3022"/>
          </w:tcPr>
          <w:p>
            <w:r>
              <w:rPr>
                <w:rFonts w:ascii="Times New Roman" w:hAnsi="Times New Roman" w:eastAsia="仿宋"/>
                <w:b w:val="0"/>
                <w:sz w:val="20"/>
              </w:rPr>
              <w:t>不适用撤销权的行使期间</w:t>
            </w:r>
          </w:p>
        </w:tc>
        <w:tc>
          <w:tcPr>
            <w:tcW w:type="dxa" w:w="3022"/>
          </w:tcPr>
          <w:p>
            <w:r>
              <w:rPr>
                <w:rFonts w:ascii="Times New Roman" w:hAnsi="Times New Roman" w:eastAsia="仿宋"/>
                <w:b w:val="0"/>
                <w:sz w:val="20"/>
              </w:rPr>
              <w:t>一年；最长五年（第一百五十二条）</w:t>
            </w:r>
          </w:p>
        </w:tc>
      </w:tr>
    </w:tbl>
    <w:p>
      <w:pPr>
        <w:spacing w:after="40"/>
      </w:pPr>
    </w:p>
    <w:p>
      <w:pPr>
        <w:spacing w:after="100"/>
      </w:pPr>
      <w:r>
        <w:rPr>
          <w:rFonts w:ascii="Times New Roman" w:hAnsi="Times New Roman" w:eastAsia="仿宋"/>
          <w:b w:val="0"/>
          <w:sz w:val="22"/>
        </w:rPr>
        <w:t>定性不同，最要紧的差别在最后一行。</w:t>
      </w:r>
    </w:p>
    <w:p>
      <w:pPr>
        <w:spacing w:before="160" w:after="80"/>
      </w:pPr>
      <w:r>
        <w:rPr>
          <w:rFonts w:ascii="Times New Roman" w:hAnsi="Times New Roman" w:eastAsia="仿宋"/>
          <w:b/>
          <w:sz w:val="26"/>
        </w:rPr>
        <w:t>二、一份再审审查裁定怎么划这条线</w:t>
      </w:r>
    </w:p>
    <w:p>
      <w:pPr>
        <w:spacing w:after="100"/>
      </w:pPr>
      <w:r>
        <w:rPr>
          <w:rFonts w:ascii="Times New Roman" w:hAnsi="Times New Roman" w:eastAsia="仿宋"/>
          <w:b w:val="0"/>
          <w:sz w:val="22"/>
        </w:rPr>
        <w:t>广东省高级人民法院（2025）粤民申 9142 号再审审查裁定处理的案情是：出让人以 1 元的价格，把公司 49% 的股权转让给受让人；事后出让人主张，一名合同之外的第三人与受让人恶意串通、诱骗其签约，请求确认合同无效。</w:t>
      </w:r>
    </w:p>
    <w:p>
      <w:pPr>
        <w:spacing w:after="100"/>
      </w:pPr>
      <w:r>
        <w:rPr>
          <w:rFonts w:ascii="Times New Roman" w:hAnsi="Times New Roman" w:eastAsia="仿宋"/>
          <w:b w:val="0"/>
          <w:sz w:val="22"/>
        </w:rPr>
        <w:t>法院的回应分两层。</w:t>
      </w:r>
    </w:p>
    <w:p>
      <w:pPr>
        <w:spacing w:after="100"/>
      </w:pPr>
      <w:r>
        <w:rPr>
          <w:rFonts w:ascii="Times New Roman" w:hAnsi="Times New Roman" w:eastAsia="仿宋"/>
          <w:b w:val="0"/>
          <w:sz w:val="22"/>
        </w:rPr>
        <w:t>第一层：在案证据不足以证明串通；而且即便串通成立，按第一百五十四条，无效的也是第三人与受让人之间的法律行为，而不是出让人与受让人之间的合同。</w:t>
      </w:r>
    </w:p>
    <w:p>
      <w:pPr>
        <w:spacing w:after="100"/>
      </w:pPr>
      <w:r>
        <w:rPr>
          <w:rFonts w:ascii="Times New Roman" w:hAnsi="Times New Roman" w:eastAsia="仿宋"/>
          <w:b w:val="0"/>
          <w:sz w:val="22"/>
        </w:rPr>
        <w:t>第二层：出让人所说的「恶意串通」，实质上是指第三人与受让人对其实施了合同欺诈。合同欺诈属于可撤销事由，出让人应当自知道或者应当知道被欺诈之日起一年内、并且自合同签订之日起五年内行使撤销权。该案合同签于 2019 年 3 月，起诉在 2024 年 7 月，撤销权已经消灭。</w:t>
      </w:r>
    </w:p>
    <w:p>
      <w:pPr>
        <w:spacing w:after="100"/>
      </w:pPr>
      <w:r>
        <w:rPr>
          <w:rFonts w:ascii="Times New Roman" w:hAnsi="Times New Roman" w:eastAsia="仿宋"/>
          <w:b w:val="0"/>
          <w:color w:val="333333"/>
          <w:sz w:val="21"/>
        </w:rPr>
        <w:t>【提醒】这是一份再审审查裁定，体现的是该案合议庭的理解，不是司法解释。实践中也有法院在受害股东同为合同签署方时，仍按第一百五十四条的要件逐项审查——例如（2021）皖 11 民终 1190 号，法院列出恶意串通的四个要件逐一分析，最终因证据不足未予认定。口径并不完全统一。对起诉一方更稳妥的做法，是把「撤销」这条路连同它的期限一并考虑进去，而不是只押「无效」。</w:t>
      </w:r>
    </w:p>
    <w:p>
      <w:pPr>
        <w:spacing w:before="160" w:after="80"/>
      </w:pPr>
      <w:r>
        <w:rPr>
          <w:rFonts w:ascii="Times New Roman" w:hAnsi="Times New Roman" w:eastAsia="仿宋"/>
          <w:b/>
          <w:sz w:val="26"/>
        </w:rPr>
        <w:t>三、什么时候才轮到第一百五十四条</w:t>
      </w:r>
    </w:p>
    <w:p>
      <w:pPr>
        <w:spacing w:after="100"/>
      </w:pPr>
      <w:r>
        <w:rPr>
          <w:rFonts w:ascii="Times New Roman" w:hAnsi="Times New Roman" w:eastAsia="仿宋"/>
          <w:b w:val="0"/>
          <w:sz w:val="22"/>
        </w:rPr>
        <w:t>合同双方联手、受损害的是合同之外的人——结构对上了，才轮到它。两个例子：</w:t>
      </w:r>
    </w:p>
    <w:p>
      <w:pPr>
        <w:spacing w:after="100"/>
      </w:pPr>
      <w:r>
        <w:rPr>
          <w:rFonts w:ascii="Times New Roman" w:hAnsi="Times New Roman" w:eastAsia="仿宋"/>
          <w:b w:val="0"/>
          <w:sz w:val="22"/>
        </w:rPr>
        <w:t>· 福建省南平市中级人民法院（2025）闽 07 民终 1531 号二审判决：名义股东把登记在自己名下、其中包含他人实际出资份额的股权，转让给另一家公司；两家公司的负责人是兄弟，且均由同一人实际经营，受让方没有支付真实对价。法院认定双方恶意串通、损害实际出资人的权益，确认涉及实际出资人份额的转让无效，相应股权恢复登记到名义股东名下。</w:t>
      </w:r>
    </w:p>
    <w:p>
      <w:pPr>
        <w:spacing w:after="100"/>
      </w:pPr>
      <w:r>
        <w:rPr>
          <w:rFonts w:ascii="Times New Roman" w:hAnsi="Times New Roman" w:eastAsia="仿宋"/>
          <w:b w:val="0"/>
          <w:sz w:val="22"/>
        </w:rPr>
        <w:t>· 第一篇提到的（2019）最高法民申 4083 号：夫妻一方在离婚诉讼期间，把股权低价转让给自己的近亲属，受损害的是合同之外的配偶。</w:t>
      </w:r>
    </w:p>
    <w:p>
      <w:pPr>
        <w:spacing w:after="100"/>
      </w:pPr>
      <w:r>
        <w:rPr>
          <w:rFonts w:ascii="Times New Roman" w:hAnsi="Times New Roman" w:eastAsia="仿宋"/>
          <w:b w:val="0"/>
          <w:sz w:val="22"/>
        </w:rPr>
        <w:t>回到本专题，有一种交易结构会让规则发生变化——增资。增资合同的一方是公司；总经理若以公司的名义经办，他与投资者串通，损害的就是被他代表的公司：</w:t>
      </w:r>
    </w:p>
    <w:p>
      <w:pPr>
        <w:spacing w:after="100"/>
      </w:pPr>
      <w:r>
        <w:rPr>
          <w:rFonts w:ascii="Times New Roman" w:hAnsi="Times New Roman" w:eastAsia="仿宋"/>
          <w:b w:val="0"/>
          <w:color w:val="333333"/>
          <w:sz w:val="21"/>
        </w:rPr>
        <w:t>【要点】法定代表人、负责人或者代理人与相对人恶意串通，以法人、非法人组织的名义订立合同，损害法人、非法人组织的合法权益，法人、非法人组织主张不承担民事责任的，人民法院应予支持。法人、非法人组织请求法定代表人、负责人或者代理人与相对人对因此受到的损失承担连带赔偿责任的，人民法院应予支持。——《民法典合同编通则解释》第二十三条第一款</w:t>
      </w:r>
    </w:p>
    <w:p>
      <w:pPr>
        <w:spacing w:after="100"/>
      </w:pPr>
      <w:r>
        <w:rPr>
          <w:rFonts w:ascii="Times New Roman" w:hAnsi="Times New Roman" w:eastAsia="仿宋"/>
          <w:b w:val="0"/>
          <w:sz w:val="22"/>
        </w:rPr>
        <w:t>老股转让里，如果总经理是受股东委托经办交易的代理人，则适用第一篇提到的《民法典》第一百六十四条第二款：代理人和相对人恶意串通、损害被代理人合法权益的，承担连带责任。</w:t>
      </w:r>
    </w:p>
    <w:p>
      <w:pPr>
        <w:spacing w:before="160" w:after="80"/>
      </w:pPr>
      <w:r>
        <w:rPr>
          <w:rFonts w:ascii="Times New Roman" w:hAnsi="Times New Roman" w:eastAsia="仿宋"/>
          <w:b/>
          <w:sz w:val="26"/>
        </w:rPr>
        <w:t>四、期限：一年、九十日、五年</w:t>
      </w:r>
    </w:p>
    <w:p>
      <w:pPr>
        <w:spacing w:after="100"/>
      </w:pPr>
      <w:r>
        <w:rPr>
          <w:rFonts w:ascii="Times New Roman" w:hAnsi="Times New Roman" w:eastAsia="仿宋"/>
          <w:b w:val="0"/>
          <w:color w:val="333333"/>
          <w:sz w:val="21"/>
        </w:rPr>
        <w:t>【要点】有下列情形之一的，撤销权消灭：（一）当事人自知道或者应当知道撤销事由之日起一年内、重大误解的当事人自知道或者应当知道撤销事由之日起九十日内没有行使撤销权；……（三）当事人知道撤销事由后明确表示或者以自己的行为表明放弃撤销权。当事人自民事法律行为发生之日起五年内没有行使撤销权的，撤销权消灭。——《民法典》第一百五十二条（节录）</w:t>
      </w:r>
    </w:p>
    <w:tbl>
      <w:tblPr>
        <w:tblStyle w:val="TableGrid"/>
        <w:tblW w:type="auto" w:w="0"/>
        <w:tblLook w:firstColumn="1" w:firstRow="1" w:lastColumn="0" w:lastRow="0" w:noHBand="0" w:noVBand="1" w:val="04A0"/>
      </w:tblPr>
      <w:tblGrid>
        <w:gridCol w:w="3022"/>
        <w:gridCol w:w="3022"/>
        <w:gridCol w:w="3022"/>
      </w:tblGrid>
      <w:tr>
        <w:tc>
          <w:tcPr>
            <w:tcW w:type="dxa" w:w="3022"/>
          </w:tcPr>
          <w:p>
            <w:r>
              <w:rPr>
                <w:rFonts w:ascii="Times New Roman" w:hAnsi="Times New Roman" w:eastAsia="仿宋"/>
                <w:b/>
                <w:sz w:val="20"/>
              </w:rPr>
              <w:t>撤销事由</w:t>
            </w:r>
          </w:p>
        </w:tc>
        <w:tc>
          <w:tcPr>
            <w:tcW w:type="dxa" w:w="3022"/>
          </w:tcPr>
          <w:p>
            <w:r>
              <w:rPr>
                <w:rFonts w:ascii="Times New Roman" w:hAnsi="Times New Roman" w:eastAsia="仿宋"/>
                <w:b/>
                <w:sz w:val="20"/>
              </w:rPr>
              <w:t>期间</w:t>
            </w:r>
          </w:p>
        </w:tc>
        <w:tc>
          <w:tcPr>
            <w:tcW w:type="dxa" w:w="3022"/>
          </w:tcPr>
          <w:p>
            <w:r>
              <w:rPr>
                <w:rFonts w:ascii="Times New Roman" w:hAnsi="Times New Roman" w:eastAsia="仿宋"/>
                <w:b/>
                <w:sz w:val="20"/>
              </w:rPr>
              <w:t>从哪一天起算</w:t>
            </w:r>
          </w:p>
        </w:tc>
      </w:tr>
      <w:tr>
        <w:tc>
          <w:tcPr>
            <w:tcW w:type="dxa" w:w="3022"/>
          </w:tcPr>
          <w:p>
            <w:r>
              <w:rPr>
                <w:rFonts w:ascii="Times New Roman" w:hAnsi="Times New Roman" w:eastAsia="仿宋"/>
                <w:b w:val="0"/>
                <w:sz w:val="20"/>
              </w:rPr>
              <w:t>受欺诈（第一百四十八条、第一百四十九条）</w:t>
            </w:r>
          </w:p>
        </w:tc>
        <w:tc>
          <w:tcPr>
            <w:tcW w:type="dxa" w:w="3022"/>
          </w:tcPr>
          <w:p>
            <w:r>
              <w:rPr>
                <w:rFonts w:ascii="Times New Roman" w:hAnsi="Times New Roman" w:eastAsia="仿宋"/>
                <w:b w:val="0"/>
                <w:sz w:val="20"/>
              </w:rPr>
              <w:t>一年</w:t>
            </w:r>
          </w:p>
        </w:tc>
        <w:tc>
          <w:tcPr>
            <w:tcW w:type="dxa" w:w="3022"/>
          </w:tcPr>
          <w:p>
            <w:r>
              <w:rPr>
                <w:rFonts w:ascii="Times New Roman" w:hAnsi="Times New Roman" w:eastAsia="仿宋"/>
                <w:b w:val="0"/>
                <w:sz w:val="20"/>
              </w:rPr>
              <w:t>知道或者应当知道撤销事由之日</w:t>
            </w:r>
          </w:p>
        </w:tc>
      </w:tr>
      <w:tr>
        <w:tc>
          <w:tcPr>
            <w:tcW w:type="dxa" w:w="3022"/>
          </w:tcPr>
          <w:p>
            <w:r>
              <w:rPr>
                <w:rFonts w:ascii="Times New Roman" w:hAnsi="Times New Roman" w:eastAsia="仿宋"/>
                <w:b w:val="0"/>
                <w:sz w:val="20"/>
              </w:rPr>
              <w:t>显失公平（第一百五十一条）</w:t>
            </w:r>
          </w:p>
        </w:tc>
        <w:tc>
          <w:tcPr>
            <w:tcW w:type="dxa" w:w="3022"/>
          </w:tcPr>
          <w:p>
            <w:r>
              <w:rPr>
                <w:rFonts w:ascii="Times New Roman" w:hAnsi="Times New Roman" w:eastAsia="仿宋"/>
                <w:b w:val="0"/>
                <w:sz w:val="20"/>
              </w:rPr>
              <w:t>一年</w:t>
            </w:r>
          </w:p>
        </w:tc>
        <w:tc>
          <w:tcPr>
            <w:tcW w:type="dxa" w:w="3022"/>
          </w:tcPr>
          <w:p>
            <w:r>
              <w:rPr>
                <w:rFonts w:ascii="Times New Roman" w:hAnsi="Times New Roman" w:eastAsia="仿宋"/>
                <w:b w:val="0"/>
                <w:sz w:val="20"/>
              </w:rPr>
              <w:t>知道或者应当知道撤销事由之日</w:t>
            </w:r>
          </w:p>
        </w:tc>
      </w:tr>
      <w:tr>
        <w:tc>
          <w:tcPr>
            <w:tcW w:type="dxa" w:w="3022"/>
          </w:tcPr>
          <w:p>
            <w:r>
              <w:rPr>
                <w:rFonts w:ascii="Times New Roman" w:hAnsi="Times New Roman" w:eastAsia="仿宋"/>
                <w:b w:val="0"/>
                <w:sz w:val="20"/>
              </w:rPr>
              <w:t>重大误解（第一百四十七条）</w:t>
            </w:r>
          </w:p>
        </w:tc>
        <w:tc>
          <w:tcPr>
            <w:tcW w:type="dxa" w:w="3022"/>
          </w:tcPr>
          <w:p>
            <w:r>
              <w:rPr>
                <w:rFonts w:ascii="Times New Roman" w:hAnsi="Times New Roman" w:eastAsia="仿宋"/>
                <w:b w:val="0"/>
                <w:sz w:val="20"/>
              </w:rPr>
              <w:t>九十日</w:t>
            </w:r>
          </w:p>
        </w:tc>
        <w:tc>
          <w:tcPr>
            <w:tcW w:type="dxa" w:w="3022"/>
          </w:tcPr>
          <w:p>
            <w:r>
              <w:rPr>
                <w:rFonts w:ascii="Times New Roman" w:hAnsi="Times New Roman" w:eastAsia="仿宋"/>
                <w:b w:val="0"/>
                <w:sz w:val="20"/>
              </w:rPr>
              <w:t>知道或者应当知道撤销事由之日</w:t>
            </w:r>
          </w:p>
        </w:tc>
      </w:tr>
      <w:tr>
        <w:tc>
          <w:tcPr>
            <w:tcW w:type="dxa" w:w="3022"/>
          </w:tcPr>
          <w:p>
            <w:r>
              <w:rPr>
                <w:rFonts w:ascii="Times New Roman" w:hAnsi="Times New Roman" w:eastAsia="仿宋"/>
                <w:b w:val="0"/>
                <w:sz w:val="20"/>
              </w:rPr>
              <w:t>各类事由共同的最长期间</w:t>
            </w:r>
          </w:p>
        </w:tc>
        <w:tc>
          <w:tcPr>
            <w:tcW w:type="dxa" w:w="3022"/>
          </w:tcPr>
          <w:p>
            <w:r>
              <w:rPr>
                <w:rFonts w:ascii="Times New Roman" w:hAnsi="Times New Roman" w:eastAsia="仿宋"/>
                <w:b w:val="0"/>
                <w:sz w:val="20"/>
              </w:rPr>
              <w:t>五年</w:t>
            </w:r>
          </w:p>
        </w:tc>
        <w:tc>
          <w:tcPr>
            <w:tcW w:type="dxa" w:w="3022"/>
          </w:tcPr>
          <w:p>
            <w:r>
              <w:rPr>
                <w:rFonts w:ascii="Times New Roman" w:hAnsi="Times New Roman" w:eastAsia="仿宋"/>
                <w:b w:val="0"/>
                <w:sz w:val="20"/>
              </w:rPr>
              <w:t>民事法律行为发生之日</w:t>
            </w:r>
          </w:p>
        </w:tc>
      </w:tr>
    </w:tbl>
    <w:p>
      <w:pPr>
        <w:spacing w:after="40"/>
      </w:pPr>
    </w:p>
    <w:p>
      <w:pPr>
        <w:spacing w:after="100"/>
      </w:pPr>
      <w:r>
        <w:rPr>
          <w:rFonts w:ascii="Times New Roman" w:hAnsi="Times New Roman" w:eastAsia="仿宋"/>
          <w:b w:val="0"/>
          <w:sz w:val="22"/>
        </w:rPr>
        <w:t>四点提醒：</w:t>
      </w:r>
    </w:p>
    <w:p>
      <w:pPr>
        <w:spacing w:after="100"/>
      </w:pPr>
      <w:r>
        <w:rPr>
          <w:rFonts w:ascii="Times New Roman" w:hAnsi="Times New Roman" w:eastAsia="仿宋"/>
          <w:b w:val="0"/>
          <w:sz w:val="22"/>
        </w:rPr>
        <w:t>· 这些期间不是诉讼时效。《民法典》第一百九十九条规定，撤销权等权利的存续期间，不适用有关诉讼时效中止、中断和延长的规定；期间届满，权利消灭。发函催告、协商谈判，都不会让期间重新起算。</w:t>
      </w:r>
    </w:p>
    <w:p>
      <w:pPr>
        <w:spacing w:after="100"/>
      </w:pPr>
      <w:r>
        <w:rPr>
          <w:rFonts w:ascii="Times New Roman" w:hAnsi="Times New Roman" w:eastAsia="仿宋"/>
          <w:b w:val="0"/>
          <w:sz w:val="22"/>
        </w:rPr>
        <w:t>· 行使的方式。条文的用语是「请求人民法院或者仲裁机构予以撤销」。稳妥的做法是在期间内起诉或者申请仲裁，不要把发函当成行使撤销权。</w:t>
      </w:r>
    </w:p>
    <w:p>
      <w:pPr>
        <w:spacing w:after="100"/>
      </w:pPr>
      <w:r>
        <w:rPr>
          <w:rFonts w:ascii="Times New Roman" w:hAnsi="Times New Roman" w:eastAsia="仿宋"/>
          <w:b w:val="0"/>
          <w:sz w:val="22"/>
        </w:rPr>
        <w:t>· 起算日可能有争议。查账、审计、交接、收到举报材料，都可能被对方主张为「知道或者应当知道」的那一天。发现问题之后，把「哪一天、通过什么知道的」固定下来。</w:t>
      </w:r>
    </w:p>
    <w:p>
      <w:pPr>
        <w:spacing w:after="100"/>
      </w:pPr>
      <w:r>
        <w:rPr>
          <w:rFonts w:ascii="Times New Roman" w:hAnsi="Times New Roman" w:eastAsia="仿宋"/>
          <w:b w:val="0"/>
          <w:sz w:val="22"/>
        </w:rPr>
        <w:t>· 发现之后的行为也有后果。知道撤销事由后，以自己的行为表明放弃撤销权的，撤销权同样消灭。发现被瞒之后仍照常收取尾款、配合办理后续手续，存在被解读为放弃的风险——这是本文的提示，是否构成放弃取决于个案事实。</w:t>
      </w:r>
    </w:p>
    <w:p>
      <w:pPr>
        <w:spacing w:before="160" w:after="80"/>
      </w:pPr>
      <w:r>
        <w:rPr>
          <w:rFonts w:ascii="Times New Roman" w:hAnsi="Times New Roman" w:eastAsia="仿宋"/>
          <w:b/>
          <w:sz w:val="26"/>
        </w:rPr>
        <w:t>五、证明标准：排除合理怀疑</w:t>
      </w:r>
    </w:p>
    <w:p>
      <w:pPr>
        <w:spacing w:after="100"/>
      </w:pPr>
      <w:r>
        <w:rPr>
          <w:rFonts w:ascii="Times New Roman" w:hAnsi="Times New Roman" w:eastAsia="仿宋"/>
          <w:b w:val="0"/>
          <w:color w:val="333333"/>
          <w:sz w:val="21"/>
        </w:rPr>
        <w:t>【要点】当事人对欺诈、胁迫、恶意串通事实的证明，以及对口头遗嘱或者赠与事实的证明，人民法院确信该待证事实存在的可能性能够排除合理怀疑的，应当认定该事实存在。——《民诉法解释》第一百零九条</w:t>
      </w:r>
    </w:p>
    <w:p>
      <w:pPr>
        <w:spacing w:after="100"/>
      </w:pPr>
      <w:r>
        <w:rPr>
          <w:rFonts w:ascii="Times New Roman" w:hAnsi="Times New Roman" w:eastAsia="仿宋"/>
          <w:b w:val="0"/>
          <w:sz w:val="22"/>
        </w:rPr>
        <w:t>一般民事事实的证明标准是「高度可能性」（《民诉法解释》第一百零八条第一款）。欺诈和恶意串通被单独拎出来，要求更高。</w:t>
      </w:r>
    </w:p>
    <w:p>
      <w:pPr>
        <w:spacing w:after="100"/>
      </w:pPr>
      <w:r>
        <w:rPr>
          <w:rFonts w:ascii="Times New Roman" w:hAnsi="Times New Roman" w:eastAsia="仿宋"/>
          <w:b w:val="0"/>
          <w:sz w:val="22"/>
        </w:rPr>
        <w:t>前面提到的（2021）皖 11 民终 1190 号，可以看出这个标准的分量。起诉的股东提交了短信和多份录音。法院认为，这些证据能够证明受让人与部分出让股东在签约前后存在联络沟通，录音还反映出部分股东帮助受让人收购、受让人承诺按公司利润情况返还其投资款；但仍不足以证明存在恶意串通。法院进一步指出，即使串通成立，还要看他人的合法权益是否因此受到损害——在该案公司资金链断裂、各股东均认可股权价值为零的背景下，500 万元的转让价格并未损害起诉股东的利益。</w:t>
      </w:r>
    </w:p>
    <w:p>
      <w:pPr>
        <w:spacing w:after="100"/>
      </w:pPr>
      <w:r>
        <w:rPr>
          <w:rFonts w:ascii="Times New Roman" w:hAnsi="Times New Roman" w:eastAsia="仿宋"/>
          <w:b w:val="0"/>
          <w:sz w:val="22"/>
        </w:rPr>
        <w:t>在「以公司名义订立合同」的结构里，证明负担有所缓和。《民法典合同编通则解释》第二十三条第二款规定：法院综合考虑当事人之间的交易习惯、合同在订立时是否显失公平、相关人员是否获取了不正当利益、合同的履行情况等因素，能够认定存在恶意串通的高度可能性的，可以要求相关人员就合同订立、履行的过程等事实作出陈述或者提供相应的证据；无正当理由拒绝陈述，或者陈述不具合理性又不能提供相应证据的，可以认定恶意串通的事实成立。</w:t>
      </w:r>
    </w:p>
    <w:p>
      <w:pPr>
        <w:spacing w:after="100"/>
      </w:pPr>
      <w:r>
        <w:rPr>
          <w:rFonts w:ascii="Times New Roman" w:hAnsi="Times New Roman" w:eastAsia="仿宋"/>
          <w:b w:val="0"/>
          <w:color w:val="333333"/>
          <w:sz w:val="21"/>
        </w:rPr>
        <w:t>【说明】注意这一款的适用前提：串通的一方是法人的法定代表人、负责人或者代理人，合同是以法人的名义订立的。增资结构对得上；股东个人之间的老股转让，总经理既不是合同当事人、也不代表公司签约，未必对得上。</w:t>
      </w:r>
    </w:p>
    <w:p>
      <w:pPr>
        <w:spacing w:after="100"/>
      </w:pPr>
      <w:r>
        <w:rPr>
          <w:rFonts w:ascii="Times New Roman" w:hAnsi="Times New Roman" w:eastAsia="仿宋"/>
          <w:b w:val="0"/>
          <w:sz w:val="22"/>
        </w:rPr>
        <w:t>据此，值得收集的证据大致有五类（本文的整理，不是法定清单）：总经理与投资者之间的资金往来和利益安排；真实账目、经营数据流向投资者的痕迹；成交价格是怎么形成的、依据了什么；谈判经过，尤其是谁在替谁传话；投资者与总经理之间的关联关系。</w:t>
      </w:r>
    </w:p>
    <w:p>
      <w:pPr>
        <w:spacing w:before="160" w:after="80"/>
      </w:pPr>
      <w:r>
        <w:rPr>
          <w:rFonts w:ascii="Times New Roman" w:hAnsi="Times New Roman" w:eastAsia="仿宋"/>
          <w:b/>
          <w:sz w:val="26"/>
        </w:rPr>
        <w:t>六、常见问答</w:t>
      </w:r>
    </w:p>
    <w:p>
      <w:pPr>
        <w:spacing w:before="80" w:after="40"/>
      </w:pPr>
      <w:r>
        <w:rPr>
          <w:rFonts w:ascii="Times New Roman" w:hAnsi="Times New Roman" w:eastAsia="仿宋"/>
          <w:b/>
          <w:sz w:val="22"/>
        </w:rPr>
        <w:t>Q：合同签了六年才发现被瞒，还能撤销吗？</w:t>
      </w:r>
    </w:p>
    <w:p>
      <w:pPr>
        <w:spacing w:after="100"/>
      </w:pPr>
      <w:r>
        <w:rPr>
          <w:rFonts w:ascii="Times New Roman" w:hAnsi="Times New Roman" w:eastAsia="仿宋"/>
          <w:b w:val="0"/>
          <w:sz w:val="22"/>
        </w:rPr>
        <w:t>撤销权自民事法律行为发生之日起五年内没有行使的，归于消灭（第一百五十二条第二款），与哪一天发现无关。但对总经理的损害赔偿请求是另一条线，适用三年诉讼时效，自知道或者应当知道权利受到损害以及义务人之日起算（《民法典》第一百八十八条）。第三篇展开。</w:t>
      </w:r>
    </w:p>
    <w:p>
      <w:pPr>
        <w:spacing w:before="80" w:after="40"/>
      </w:pPr>
      <w:r>
        <w:rPr>
          <w:rFonts w:ascii="Times New Roman" w:hAnsi="Times New Roman" w:eastAsia="仿宋"/>
          <w:b/>
          <w:sz w:val="22"/>
        </w:rPr>
        <w:t>Q：发过律师函要求撤销，算不算行使了撤销权？</w:t>
      </w:r>
    </w:p>
    <w:p>
      <w:pPr>
        <w:spacing w:after="100"/>
      </w:pPr>
      <w:r>
        <w:rPr>
          <w:rFonts w:ascii="Times New Roman" w:hAnsi="Times New Roman" w:eastAsia="仿宋"/>
          <w:b w:val="0"/>
          <w:sz w:val="22"/>
        </w:rPr>
        <w:t>条文的用语是「请求人民法院或者仲裁机构予以撤销」。稳妥的做法是在期间内起诉或者申请仲裁；一年的期间不因发函而中断（第一百九十九条）。</w:t>
      </w:r>
    </w:p>
    <w:p>
      <w:pPr>
        <w:spacing w:before="80" w:after="40"/>
      </w:pPr>
      <w:r>
        <w:rPr>
          <w:rFonts w:ascii="Times New Roman" w:hAnsi="Times New Roman" w:eastAsia="仿宋"/>
          <w:b/>
          <w:sz w:val="22"/>
        </w:rPr>
        <w:t>Q：证明不了串通，是不是就没有办法了？</w:t>
      </w:r>
    </w:p>
    <w:p>
      <w:pPr>
        <w:spacing w:after="100"/>
      </w:pPr>
      <w:r>
        <w:rPr>
          <w:rFonts w:ascii="Times New Roman" w:hAnsi="Times New Roman" w:eastAsia="仿宋"/>
          <w:b w:val="0"/>
          <w:sz w:val="22"/>
        </w:rPr>
        <w:t>不是。对总经理的请求，不以投资者知情或者串通为前提（第三篇）。对投资者，即便证明不了共同谋划，仍可以主张其「知道或者应当知道」——这是比串通更低的事实门槛，但同样需要证据。</w:t>
      </w:r>
    </w:p>
    <w:p>
      <w:pPr>
        <w:spacing w:before="160" w:after="80"/>
      </w:pPr>
      <w:r>
        <w:rPr>
          <w:rFonts w:ascii="Times New Roman" w:hAnsi="Times New Roman" w:eastAsia="仿宋"/>
          <w:b/>
          <w:sz w:val="26"/>
        </w:rPr>
        <w:t>本篇主要依据</w:t>
      </w:r>
    </w:p>
    <w:p>
      <w:pPr>
        <w:spacing w:after="100"/>
      </w:pPr>
      <w:r>
        <w:rPr>
          <w:rFonts w:ascii="Times New Roman" w:hAnsi="Times New Roman" w:eastAsia="仿宋"/>
          <w:b w:val="0"/>
          <w:sz w:val="22"/>
        </w:rPr>
        <w:t>· 《中华人民共和国民法典》（2021 年 1 月 1 日施行）第一百四十七条、第一百四十八条、第一百四十九条、第一百五十一条、第一百五十二条、第一百五十四条、第一百六十四条、第一百八十八条、第一百九十九条</w:t>
      </w:r>
    </w:p>
    <w:p>
      <w:pPr>
        <w:spacing w:after="100"/>
      </w:pPr>
      <w:r>
        <w:rPr>
          <w:rFonts w:ascii="Times New Roman" w:hAnsi="Times New Roman" w:eastAsia="仿宋"/>
          <w:b w:val="0"/>
          <w:sz w:val="22"/>
        </w:rPr>
        <w:t>· 《最高人民法院关于适用〈中华人民共和国民法典〉合同编通则若干问题的解释》（法释〔2023〕13 号，2023 年 12 月 5 日施行）第二十三条</w:t>
      </w:r>
    </w:p>
    <w:p>
      <w:pPr>
        <w:spacing w:after="100"/>
      </w:pPr>
      <w:r>
        <w:rPr>
          <w:rFonts w:ascii="Times New Roman" w:hAnsi="Times New Roman" w:eastAsia="仿宋"/>
          <w:b w:val="0"/>
          <w:sz w:val="22"/>
        </w:rPr>
        <w:t>· 《最高人民法院关于适用〈中华人民共和国民事诉讼法〉的解释》（2022 修正）第一百零八条、第一百零九条</w:t>
      </w:r>
    </w:p>
    <w:p>
      <w:pPr>
        <w:spacing w:after="100"/>
      </w:pPr>
      <w:r>
        <w:rPr>
          <w:rFonts w:ascii="Times New Roman" w:hAnsi="Times New Roman" w:eastAsia="仿宋"/>
          <w:b w:val="0"/>
          <w:sz w:val="22"/>
        </w:rPr>
        <w:t>· （2025）粤民申 9142 号再审审查民事裁定；（2021）皖 11 民终 1190 号二审民事判决；（2025）闽 07 民终 1531 号二审民事判决；（2019）最高法民申 4083 号再审审查民事裁定</w:t>
      </w:r>
    </w:p>
    <w:p>
      <w:pPr>
        <w:spacing w:after="100"/>
      </w:pPr>
      <w:r>
        <w:rPr>
          <w:rFonts w:ascii="Times New Roman" w:hAnsi="Times New Roman" w:eastAsia="仿宋"/>
          <w:b w:val="0"/>
          <w:color w:val="333333"/>
          <w:sz w:val="21"/>
        </w:rPr>
        <w:t>【说明】本文为法律问题的研究与学习材料，免费提供，仅供参考学习之用，不构成对任何具体事项的法律意见。所引条文以写作时检索的现行有效版本为准，法律法规及监管口径可能变动，内容可能更新不及时或不准确。交易发生在现行《公司法》《民法典》施行之前的，应当按行为时的法律另行核对。具体事项请咨询您的律师。</w:t>
      </w:r>
    </w:p>
    <w:p>
      <w:pPr>
        <w:spacing w:before="360" w:after="120"/>
      </w:pPr>
      <w:r>
        <w:rPr>
          <w:rFonts w:ascii="Times New Roman" w:hAnsi="Times New Roman" w:eastAsia="仿宋"/>
          <w:b/>
          <w:sz w:val="30"/>
        </w:rPr>
        <w:t>第三篇　账该找谁算：追总经理的几条路，和投资者的自保清单。</w:t>
      </w:r>
    </w:p>
    <w:p>
      <w:pPr>
        <w:spacing w:before="160" w:after="80"/>
      </w:pPr>
      <w:r>
        <w:rPr>
          <w:rFonts w:ascii="Times New Roman" w:hAnsi="Times New Roman" w:eastAsia="仿宋"/>
          <w:b/>
          <w:sz w:val="26"/>
        </w:rPr>
        <w:t>一、为什么主战场通常在总经理这边</w:t>
      </w:r>
    </w:p>
    <w:p>
      <w:pPr>
        <w:spacing w:after="100"/>
      </w:pPr>
      <w:r>
        <w:rPr>
          <w:rFonts w:ascii="Times New Roman" w:hAnsi="Times New Roman" w:eastAsia="仿宋"/>
          <w:b w:val="0"/>
          <w:sz w:val="22"/>
        </w:rPr>
        <w:t>前两篇的结论可以压成一句话：向投资者主张，要先跨过「知道或者应当知道」这道门槛，还要赶在一年和五年的期间之内。向总经理主张，这两道限制都不存在——他的责任来自他自己的义务，不取决于投资者知不知情。</w:t>
      </w:r>
    </w:p>
    <w:p>
      <w:pPr>
        <w:spacing w:after="100"/>
      </w:pPr>
      <w:r>
        <w:rPr>
          <w:rFonts w:ascii="Times New Roman" w:hAnsi="Times New Roman" w:eastAsia="仿宋"/>
          <w:b w:val="0"/>
          <w:color w:val="333333"/>
          <w:sz w:val="21"/>
        </w:rPr>
        <w:t>【要点】董事、高级管理人员违反法律、行政法规或者公司章程的规定，损害股东利益的，股东可以向人民法院提起诉讼。——《公司法》第一百九十条</w:t>
      </w:r>
    </w:p>
    <w:p>
      <w:pPr>
        <w:spacing w:after="100"/>
      </w:pPr>
      <w:r>
        <w:rPr>
          <w:rFonts w:ascii="Times New Roman" w:hAnsi="Times New Roman" w:eastAsia="仿宋"/>
          <w:b w:val="0"/>
          <w:sz w:val="22"/>
        </w:rPr>
        <w:t>总经理对公司负有忠实义务和勤勉义务（第一百八十条）；执行职务违反法律、行政法规或者公司章程的规定，给公司造成损失的，应当承担赔偿责任（第一百八十八条）。隐瞒真实利润、向股东报送压低的数字，是这两条义务的反面。</w:t>
      </w:r>
    </w:p>
    <w:p>
      <w:pPr>
        <w:spacing w:before="160" w:after="80"/>
      </w:pPr>
      <w:r>
        <w:rPr>
          <w:rFonts w:ascii="Times New Roman" w:hAnsi="Times New Roman" w:eastAsia="仿宋"/>
          <w:b/>
          <w:sz w:val="26"/>
        </w:rPr>
        <w:t>二、先分清：是股东的损失，还是公司的损失</w:t>
      </w:r>
    </w:p>
    <w:p>
      <w:pPr>
        <w:spacing w:after="100"/>
      </w:pPr>
      <w:r>
        <w:rPr>
          <w:rFonts w:ascii="Times New Roman" w:hAnsi="Times New Roman" w:eastAsia="仿宋"/>
          <w:b w:val="0"/>
          <w:sz w:val="22"/>
        </w:rPr>
        <w:t>第一百九十条和第一百八十八条，对应的是两种不同的损失，走的也是两条不同的路。</w:t>
      </w:r>
    </w:p>
    <w:tbl>
      <w:tblPr>
        <w:tblStyle w:val="TableGrid"/>
        <w:tblW w:type="auto" w:w="0"/>
        <w:tblLook w:firstColumn="1" w:firstRow="1" w:lastColumn="0" w:lastRow="0" w:noHBand="0" w:noVBand="1" w:val="04A0"/>
      </w:tblPr>
      <w:tblGrid>
        <w:gridCol w:w="2266"/>
        <w:gridCol w:w="2266"/>
        <w:gridCol w:w="2266"/>
        <w:gridCol w:w="2266"/>
      </w:tblGrid>
      <w:tr>
        <w:tc>
          <w:tcPr>
            <w:tcW w:type="dxa" w:w="2266"/>
          </w:tcPr>
          <w:p>
            <w:r>
              <w:rPr>
                <w:rFonts w:ascii="Times New Roman" w:hAnsi="Times New Roman" w:eastAsia="仿宋"/>
                <w:b/>
                <w:sz w:val="20"/>
              </w:rPr>
              <w:t>交易结构</w:t>
            </w:r>
          </w:p>
        </w:tc>
        <w:tc>
          <w:tcPr>
            <w:tcW w:type="dxa" w:w="2266"/>
          </w:tcPr>
          <w:p>
            <w:r>
              <w:rPr>
                <w:rFonts w:ascii="Times New Roman" w:hAnsi="Times New Roman" w:eastAsia="仿宋"/>
                <w:b/>
                <w:sz w:val="20"/>
              </w:rPr>
              <w:t>损失落在谁身上</w:t>
            </w:r>
          </w:p>
        </w:tc>
        <w:tc>
          <w:tcPr>
            <w:tcW w:type="dxa" w:w="2266"/>
          </w:tcPr>
          <w:p>
            <w:r>
              <w:rPr>
                <w:rFonts w:ascii="Times New Roman" w:hAnsi="Times New Roman" w:eastAsia="仿宋"/>
                <w:b/>
                <w:sz w:val="20"/>
              </w:rPr>
              <w:t>诉讼路径</w:t>
            </w:r>
          </w:p>
        </w:tc>
        <w:tc>
          <w:tcPr>
            <w:tcW w:type="dxa" w:w="2266"/>
          </w:tcPr>
          <w:p>
            <w:r>
              <w:rPr>
                <w:rFonts w:ascii="Times New Roman" w:hAnsi="Times New Roman" w:eastAsia="仿宋"/>
                <w:b/>
                <w:sz w:val="20"/>
              </w:rPr>
              <w:t>条文</w:t>
            </w:r>
          </w:p>
        </w:tc>
      </w:tr>
      <w:tr>
        <w:tc>
          <w:tcPr>
            <w:tcW w:type="dxa" w:w="2266"/>
          </w:tcPr>
          <w:p>
            <w:r>
              <w:rPr>
                <w:rFonts w:ascii="Times New Roman" w:hAnsi="Times New Roman" w:eastAsia="仿宋"/>
                <w:b w:val="0"/>
                <w:sz w:val="20"/>
              </w:rPr>
              <w:t>老股转让：股东把自己的股权卖便宜了</w:t>
            </w:r>
          </w:p>
        </w:tc>
        <w:tc>
          <w:tcPr>
            <w:tcW w:type="dxa" w:w="2266"/>
          </w:tcPr>
          <w:p>
            <w:r>
              <w:rPr>
                <w:rFonts w:ascii="Times New Roman" w:hAnsi="Times New Roman" w:eastAsia="仿宋"/>
                <w:b w:val="0"/>
                <w:sz w:val="20"/>
              </w:rPr>
              <w:t>出让股东本人，直接损失</w:t>
            </w:r>
          </w:p>
        </w:tc>
        <w:tc>
          <w:tcPr>
            <w:tcW w:type="dxa" w:w="2266"/>
          </w:tcPr>
          <w:p>
            <w:r>
              <w:rPr>
                <w:rFonts w:ascii="Times New Roman" w:hAnsi="Times New Roman" w:eastAsia="仿宋"/>
                <w:b w:val="0"/>
                <w:sz w:val="20"/>
              </w:rPr>
              <w:t>股东以自己的名义起诉总经理</w:t>
            </w:r>
          </w:p>
        </w:tc>
        <w:tc>
          <w:tcPr>
            <w:tcW w:type="dxa" w:w="2266"/>
          </w:tcPr>
          <w:p>
            <w:r>
              <w:rPr>
                <w:rFonts w:ascii="Times New Roman" w:hAnsi="Times New Roman" w:eastAsia="仿宋"/>
                <w:b w:val="0"/>
                <w:sz w:val="20"/>
              </w:rPr>
              <w:t>第一百九十条</w:t>
            </w:r>
          </w:p>
        </w:tc>
      </w:tr>
      <w:tr>
        <w:tc>
          <w:tcPr>
            <w:tcW w:type="dxa" w:w="2266"/>
          </w:tcPr>
          <w:p>
            <w:r>
              <w:rPr>
                <w:rFonts w:ascii="Times New Roman" w:hAnsi="Times New Roman" w:eastAsia="仿宋"/>
                <w:b w:val="0"/>
                <w:sz w:val="20"/>
              </w:rPr>
              <w:t>增资：公司以偏低的价格引入新股东</w:t>
            </w:r>
          </w:p>
        </w:tc>
        <w:tc>
          <w:tcPr>
            <w:tcW w:type="dxa" w:w="2266"/>
          </w:tcPr>
          <w:p>
            <w:r>
              <w:rPr>
                <w:rFonts w:ascii="Times New Roman" w:hAnsi="Times New Roman" w:eastAsia="仿宋"/>
                <w:b w:val="0"/>
                <w:sz w:val="20"/>
              </w:rPr>
              <w:t>公司少收了增资款；原股东的股权被摊薄，后者算直接损失还是间接损失，存在争议</w:t>
            </w:r>
          </w:p>
        </w:tc>
        <w:tc>
          <w:tcPr>
            <w:tcW w:type="dxa" w:w="2266"/>
          </w:tcPr>
          <w:p>
            <w:r>
              <w:rPr>
                <w:rFonts w:ascii="Times New Roman" w:hAnsi="Times New Roman" w:eastAsia="仿宋"/>
                <w:b w:val="0"/>
                <w:sz w:val="20"/>
              </w:rPr>
              <w:t>公司起诉；公司不起诉的，股东代表诉讼。原股东能否直接起诉，取决于损失的定性</w:t>
            </w:r>
          </w:p>
        </w:tc>
        <w:tc>
          <w:tcPr>
            <w:tcW w:type="dxa" w:w="2266"/>
          </w:tcPr>
          <w:p>
            <w:r>
              <w:rPr>
                <w:rFonts w:ascii="Times New Roman" w:hAnsi="Times New Roman" w:eastAsia="仿宋"/>
                <w:b w:val="0"/>
                <w:sz w:val="20"/>
              </w:rPr>
              <w:t>第一百八十八条、第一百八十九条；第一百九十条</w:t>
            </w:r>
          </w:p>
        </w:tc>
      </w:tr>
    </w:tbl>
    <w:p>
      <w:pPr>
        <w:spacing w:after="40"/>
      </w:pPr>
    </w:p>
    <w:p>
      <w:pPr>
        <w:spacing w:after="100"/>
      </w:pPr>
      <w:r>
        <w:rPr>
          <w:rFonts w:ascii="Times New Roman" w:hAnsi="Times New Roman" w:eastAsia="仿宋"/>
          <w:b w:val="0"/>
          <w:sz w:val="22"/>
        </w:rPr>
        <w:t>这条界线有裁判可循。北京市第三中级人民法院发布的公司类纠纷典型案例（之十五）指出：只有董事、高级管理人员的行为直接损害股东利益时，股东才能以损害股东利益责任纠纷起诉；公司利益受损、股东只是间接受损的，原则上应由公司起诉，例外情形下由股东提起代表诉讼；把公司的财产损失按持股比例直接折算成股东个人损失的主张，不予支持。</w:t>
      </w:r>
    </w:p>
    <w:p>
      <w:pPr>
        <w:spacing w:after="100"/>
      </w:pPr>
      <w:r>
        <w:rPr>
          <w:rFonts w:ascii="Times New Roman" w:hAnsi="Times New Roman" w:eastAsia="仿宋"/>
          <w:b w:val="0"/>
          <w:sz w:val="22"/>
        </w:rPr>
        <w:t>股东代表诉讼有前置程序（第一百八十九条）：有限责任公司的股东先书面请求监事会向法院起诉；监事会拒绝，或者自收到请求之日起三十日内未起诉，或者情况紧急、不立即起诉将使公司利益受到难以弥补的损害的，股东才有权为公司利益以自己的名义直接起诉。这类诉讼「胜诉利益归属于公司」，股东请求被告直接向自己承担民事责任的，法院不予支持（《公司法解释（四）》第二十五条；该条文内引用的仍是修订前《公司法》的条号）。</w:t>
      </w:r>
    </w:p>
    <w:p>
      <w:pPr>
        <w:spacing w:after="100"/>
      </w:pPr>
      <w:r>
        <w:rPr>
          <w:rFonts w:ascii="Times New Roman" w:hAnsi="Times New Roman" w:eastAsia="仿宋"/>
          <w:b w:val="0"/>
          <w:color w:val="333333"/>
          <w:sz w:val="21"/>
        </w:rPr>
        <w:t>【说明】增资结构下，原股东被摊薄的损失算「直接」还是「间接」，本文写作时未检索到统一的裁判规则。起诉前需要结合交易文件和损失的具体形态判断，不宜预设结论。</w:t>
      </w:r>
    </w:p>
    <w:p>
      <w:pPr>
        <w:spacing w:before="160" w:after="80"/>
      </w:pPr>
      <w:r>
        <w:rPr>
          <w:rFonts w:ascii="Times New Roman" w:hAnsi="Times New Roman" w:eastAsia="仿宋"/>
          <w:b/>
          <w:sz w:val="26"/>
        </w:rPr>
        <w:t>三、钥匙在账里：第五十七条</w:t>
      </w:r>
    </w:p>
    <w:p>
      <w:pPr>
        <w:spacing w:after="100"/>
      </w:pPr>
      <w:r>
        <w:rPr>
          <w:rFonts w:ascii="Times New Roman" w:hAnsi="Times New Roman" w:eastAsia="仿宋"/>
          <w:b w:val="0"/>
          <w:sz w:val="22"/>
        </w:rPr>
        <w:t>无论向谁主张，都绕不开一件事：证明真实利润是多少。股东的法定工具是查账权。</w:t>
      </w:r>
    </w:p>
    <w:p>
      <w:pPr>
        <w:spacing w:after="100"/>
      </w:pPr>
      <w:r>
        <w:rPr>
          <w:rFonts w:ascii="Times New Roman" w:hAnsi="Times New Roman" w:eastAsia="仿宋"/>
          <w:b w:val="0"/>
          <w:color w:val="333333"/>
          <w:sz w:val="21"/>
        </w:rPr>
        <w:t>【要点】股东可以要求查阅公司会计账簿、会计凭证。股东要求查阅公司会计账簿、会计凭证的，应当向公司提出书面请求，说明目的。公司有合理根据认为股东查阅会计账簿、会计凭证有不正当目的，可能损害公司合法利益的，可以拒绝提供查阅，并应当自股东提出书面请求之日起十五日内书面答复股东并说明理由。公司拒绝提供查阅的，股东可以向人民法院提起诉讼。——《公司法》第五十七条第二款</w:t>
      </w:r>
    </w:p>
    <w:p>
      <w:pPr>
        <w:spacing w:after="100"/>
      </w:pPr>
      <w:r>
        <w:rPr>
          <w:rFonts w:ascii="Times New Roman" w:hAnsi="Times New Roman" w:eastAsia="仿宋"/>
          <w:b w:val="0"/>
          <w:sz w:val="22"/>
        </w:rPr>
        <w:t>三个操作要点：</w:t>
      </w:r>
    </w:p>
    <w:p>
      <w:pPr>
        <w:spacing w:after="100"/>
      </w:pPr>
      <w:r>
        <w:rPr>
          <w:rFonts w:ascii="Times New Roman" w:hAnsi="Times New Roman" w:eastAsia="仿宋"/>
          <w:b w:val="0"/>
          <w:sz w:val="22"/>
        </w:rPr>
        <w:t>· 现行法把会计凭证明确列入了可查阅的范围，查阅可以委托会计师事务所、律师事务所等中介机构进行（第五十七条第三款）。</w:t>
      </w:r>
    </w:p>
    <w:p>
      <w:pPr>
        <w:spacing w:after="100"/>
      </w:pPr>
      <w:r>
        <w:rPr>
          <w:rFonts w:ascii="Times New Roman" w:hAnsi="Times New Roman" w:eastAsia="仿宋"/>
          <w:b w:val="0"/>
          <w:sz w:val="22"/>
        </w:rPr>
        <w:t>· 书面请求要写明目的。「核实公司真实经营成果，以判断本人股权转让中的权益是否受损」，就是一个正当目的。</w:t>
      </w:r>
    </w:p>
    <w:p>
      <w:pPr>
        <w:spacing w:after="100"/>
      </w:pPr>
      <w:r>
        <w:rPr>
          <w:rFonts w:ascii="Times New Roman" w:hAnsi="Times New Roman" w:eastAsia="仿宋"/>
          <w:b w:val="0"/>
          <w:sz w:val="22"/>
        </w:rPr>
        <w:t>· 股权已经全部转让的，也并非无路可走。《公司法解释（四）》第七条第二款规定，原告在起诉时不具有股东资格的，法院应当驳回起诉，「但原告有初步证据证明在持股期间其合法权益受到损害，请求依法查阅或者复制其持股期间的公司特定文件材料的除外」。（该条文内引用的仍是修订前《公司法》的条号，对应的现行条文是第五十七条。）</w:t>
      </w:r>
    </w:p>
    <w:p>
      <w:pPr>
        <w:spacing w:after="100"/>
      </w:pPr>
      <w:r>
        <w:rPr>
          <w:rFonts w:ascii="Times New Roman" w:hAnsi="Times New Roman" w:eastAsia="仿宋"/>
          <w:b w:val="0"/>
          <w:sz w:val="22"/>
        </w:rPr>
        <w:t>如果利润是靠账外资金藏起来的，还有一条规则与之直接相关：「公司除法定的会计账簿外，不得另立会计账簿。对公司资金，不得以任何个人名义开立账户存储。」（第二百一十七条）</w:t>
      </w:r>
    </w:p>
    <w:p>
      <w:pPr>
        <w:spacing w:before="160" w:after="80"/>
      </w:pPr>
      <w:r>
        <w:rPr>
          <w:rFonts w:ascii="Times New Roman" w:hAnsi="Times New Roman" w:eastAsia="仿宋"/>
          <w:b/>
          <w:sz w:val="26"/>
        </w:rPr>
        <w:t>四、总经理拿了投资者的好处</w:t>
      </w:r>
    </w:p>
    <w:p>
      <w:pPr>
        <w:spacing w:after="100"/>
      </w:pPr>
      <w:r>
        <w:rPr>
          <w:rFonts w:ascii="Times New Roman" w:hAnsi="Times New Roman" w:eastAsia="仿宋"/>
          <w:b w:val="0"/>
          <w:sz w:val="22"/>
        </w:rPr>
        <w:t>第一篇提到，董事、监事、高级管理人员不得「利用职权贿赂或者收受其他非法收入」，不得有「违反对公司忠实义务的其他行为」（第一百八十一条第三项、第六项），违反规定所得的收入应当归公司所有（第一百八十六条）。</w:t>
      </w:r>
    </w:p>
    <w:p>
      <w:pPr>
        <w:spacing w:after="100"/>
      </w:pPr>
      <w:r>
        <w:rPr>
          <w:rFonts w:ascii="Times New Roman" w:hAnsi="Times New Roman" w:eastAsia="仿宋"/>
          <w:b w:val="0"/>
          <w:sz w:val="22"/>
        </w:rPr>
        <w:t>这一点对证明也有意义。第二篇讲过，《民法典合同编通则解释》第二十三条第二款把「相关人员是否获取了不正当利益」列为认定串通高度可能性的考量因素之一。总经理与投资者之间的资金往来，既是归入权的对象，也是「知道」和「串通」的证据线索。</w:t>
      </w:r>
    </w:p>
    <w:p>
      <w:pPr>
        <w:spacing w:before="160" w:after="80"/>
      </w:pPr>
      <w:r>
        <w:rPr>
          <w:rFonts w:ascii="Times New Roman" w:hAnsi="Times New Roman" w:eastAsia="仿宋"/>
          <w:b/>
          <w:sz w:val="26"/>
        </w:rPr>
        <w:t>五、出让股东的行动顺序</w:t>
      </w:r>
    </w:p>
    <w:p>
      <w:pPr>
        <w:spacing w:after="100"/>
      </w:pPr>
      <w:r>
        <w:rPr>
          <w:rFonts w:ascii="Times New Roman" w:hAnsi="Times New Roman" w:eastAsia="仿宋"/>
          <w:b w:val="0"/>
          <w:sz w:val="22"/>
        </w:rPr>
        <w:t>· 第一步，固定「发现日」。撤销权的一年期间从知道或者应当知道之日起算。哪一天、通过什么材料发现的，留下书面痕迹。</w:t>
      </w:r>
    </w:p>
    <w:p>
      <w:pPr>
        <w:spacing w:after="100"/>
      </w:pPr>
      <w:r>
        <w:rPr>
          <w:rFonts w:ascii="Times New Roman" w:hAnsi="Times New Roman" w:eastAsia="仿宋"/>
          <w:b w:val="0"/>
          <w:sz w:val="22"/>
        </w:rPr>
        <w:t>· 第二步，查账。按第五十七条提出书面请求；被拒绝的，起诉。</w:t>
      </w:r>
    </w:p>
    <w:p>
      <w:pPr>
        <w:spacing w:after="100"/>
      </w:pPr>
      <w:r>
        <w:rPr>
          <w:rFonts w:ascii="Times New Roman" w:hAnsi="Times New Roman" w:eastAsia="仿宋"/>
          <w:b w:val="0"/>
          <w:sz w:val="22"/>
        </w:rPr>
        <w:t>· 第三步，把几条期限并排算清。撤销权：一年，且自交易发生之日起不超过五年（《民法典》第一百五十二条）；向总经理请求赔偿：三年诉讼时效，自知道或者应当知道权利受到损害以及义务人之日起算（《民法典》第一百八十八条）。</w:t>
      </w:r>
    </w:p>
    <w:p>
      <w:pPr>
        <w:spacing w:after="100"/>
      </w:pPr>
      <w:r>
        <w:rPr>
          <w:rFonts w:ascii="Times New Roman" w:hAnsi="Times New Roman" w:eastAsia="仿宋"/>
          <w:b w:val="0"/>
          <w:sz w:val="22"/>
        </w:rPr>
        <w:t>· 第四步，选定被告。总经理通常是必选项；投资者是否列为被告、以什么理由列，取决于手里关于「知道」或「串通」的证据。</w:t>
      </w:r>
    </w:p>
    <w:p>
      <w:pPr>
        <w:spacing w:after="100"/>
      </w:pPr>
      <w:r>
        <w:rPr>
          <w:rFonts w:ascii="Times New Roman" w:hAnsi="Times New Roman" w:eastAsia="仿宋"/>
          <w:b w:val="0"/>
          <w:sz w:val="22"/>
        </w:rPr>
        <w:t>· 第五步，选定请求。撤销并返还股权，与保留交易、请求赔偿差价损失，是两种不同的方向；前者受期间限制，后者要解决损失如何计算。</w:t>
      </w:r>
    </w:p>
    <w:p>
      <w:pPr>
        <w:spacing w:after="100"/>
      </w:pPr>
      <w:r>
        <w:rPr>
          <w:rFonts w:ascii="Times New Roman" w:hAnsi="Times New Roman" w:eastAsia="仿宋"/>
          <w:b w:val="0"/>
          <w:sz w:val="22"/>
        </w:rPr>
        <w:t>· 第六步，考虑保全。股权可能被再次转让或者设定质押的，可以依法申请保全（《民事诉讼法》第一百零三条）；法院可以责令申请人提供担保。</w:t>
      </w:r>
    </w:p>
    <w:p>
      <w:pPr>
        <w:spacing w:before="160" w:after="80"/>
      </w:pPr>
      <w:r>
        <w:rPr>
          <w:rFonts w:ascii="Times New Roman" w:hAnsi="Times New Roman" w:eastAsia="仿宋"/>
          <w:b/>
          <w:sz w:val="26"/>
        </w:rPr>
        <w:t>六、投资者的自保清单</w:t>
      </w:r>
    </w:p>
    <w:p>
      <w:pPr>
        <w:spacing w:after="100"/>
      </w:pPr>
      <w:r>
        <w:rPr>
          <w:rFonts w:ascii="Times New Roman" w:hAnsi="Times New Roman" w:eastAsia="仿宋"/>
          <w:b w:val="0"/>
          <w:sz w:val="22"/>
        </w:rPr>
        <w:t>换到投资者的位置，问题是反过来的：怎样让一笔价格谈得不错的交易，事后经得起「你是不是知道」的追问。</w:t>
      </w:r>
    </w:p>
    <w:p>
      <w:pPr>
        <w:spacing w:after="100"/>
      </w:pPr>
      <w:r>
        <w:rPr>
          <w:rFonts w:ascii="Times New Roman" w:hAnsi="Times New Roman" w:eastAsia="仿宋"/>
          <w:b w:val="0"/>
          <w:sz w:val="22"/>
        </w:rPr>
        <w:t>· 价格有独立的依据。法律并不要求股权转让必须评估或者审计（第一篇所引（2021）皖 11 民终 1190 号判决），但一份独立形成的定价依据，是日后说明「价格是谈出来的」最直接的材料。</w:t>
      </w:r>
    </w:p>
    <w:p>
      <w:pPr>
        <w:spacing w:after="100"/>
      </w:pPr>
      <w:r>
        <w:rPr>
          <w:rFonts w:ascii="Times New Roman" w:hAnsi="Times New Roman" w:eastAsia="仿宋"/>
          <w:b w:val="0"/>
          <w:sz w:val="22"/>
        </w:rPr>
        <w:t>· 直接与出让股东谈。关键信息由谁提供、提供了什么，写进交易文件。总经理同时替双方传话，是第一篇列出的「应当知道」因素之一。</w:t>
      </w:r>
    </w:p>
    <w:p>
      <w:pPr>
        <w:spacing w:after="100"/>
      </w:pPr>
      <w:r>
        <w:rPr>
          <w:rFonts w:ascii="Times New Roman" w:hAnsi="Times New Roman" w:eastAsia="仿宋"/>
          <w:b w:val="0"/>
          <w:sz w:val="22"/>
        </w:rPr>
        <w:t>· 如实披露与公司高管的关系。第二百六十五条第四项的关联关系包括「可能导致公司利益转移的其他关系」，范围比亲属和持股更宽。</w:t>
      </w:r>
    </w:p>
    <w:p>
      <w:pPr>
        <w:spacing w:after="100"/>
      </w:pPr>
      <w:r>
        <w:rPr>
          <w:rFonts w:ascii="Times New Roman" w:hAnsi="Times New Roman" w:eastAsia="仿宋"/>
          <w:b w:val="0"/>
          <w:sz w:val="22"/>
        </w:rPr>
        <w:t>· 与公司高管之间不发生与交易有关的资金往来和利益安排。</w:t>
      </w:r>
    </w:p>
    <w:p>
      <w:pPr>
        <w:spacing w:after="100"/>
      </w:pPr>
      <w:r>
        <w:rPr>
          <w:rFonts w:ascii="Times New Roman" w:hAnsi="Times New Roman" w:eastAsia="仿宋"/>
          <w:b w:val="0"/>
          <w:sz w:val="22"/>
        </w:rPr>
        <w:t>· 信息来源要干净。投资者没有义务替出让方估值；但如果手里的「真实数字」恰恰来自总经理的私下提供，沉默就不再只是商业判断，而可能被评价为「知道」第三人的欺诈。</w:t>
      </w:r>
    </w:p>
    <w:p>
      <w:pPr>
        <w:spacing w:after="100"/>
      </w:pPr>
      <w:r>
        <w:rPr>
          <w:rFonts w:ascii="Times New Roman" w:hAnsi="Times New Roman" w:eastAsia="仿宋"/>
          <w:b w:val="0"/>
          <w:sz w:val="22"/>
        </w:rPr>
        <w:t>即便交易最终被撤销，第一篇讲过，《民法典》第一百五十七条按过错分配损失，善意的投资者可以主张自己的损失。</w:t>
      </w:r>
    </w:p>
    <w:p>
      <w:pPr>
        <w:spacing w:before="160" w:after="80"/>
      </w:pPr>
      <w:r>
        <w:rPr>
          <w:rFonts w:ascii="Times New Roman" w:hAnsi="Times New Roman" w:eastAsia="仿宋"/>
          <w:b/>
          <w:sz w:val="26"/>
        </w:rPr>
        <w:t>七、一个容易忽略的问题</w:t>
      </w:r>
    </w:p>
    <w:p>
      <w:pPr>
        <w:spacing w:after="100"/>
      </w:pPr>
      <w:r>
        <w:rPr>
          <w:rFonts w:ascii="Times New Roman" w:hAnsi="Times New Roman" w:eastAsia="仿宋"/>
          <w:b w:val="0"/>
          <w:sz w:val="22"/>
        </w:rPr>
        <w:t>要证明「真实利润」，就得把账本摆上法庭。如果利润是靠账外资金、另立账簿藏起来的，这本账同时也可能牵出公司自身的合规问题（第二百一十七条）。是否起诉、以什么请求起诉，需要把这一层一并评估。它不改变法律上的对错，但会影响各方对诉讼与和解的选择。</w:t>
      </w:r>
    </w:p>
    <w:p>
      <w:pPr>
        <w:spacing w:before="160" w:after="80"/>
      </w:pPr>
      <w:r>
        <w:rPr>
          <w:rFonts w:ascii="Times New Roman" w:hAnsi="Times New Roman" w:eastAsia="仿宋"/>
          <w:b/>
          <w:sz w:val="26"/>
        </w:rPr>
        <w:t>八、常见问答</w:t>
      </w:r>
    </w:p>
    <w:p>
      <w:pPr>
        <w:spacing w:before="80" w:after="40"/>
      </w:pPr>
      <w:r>
        <w:rPr>
          <w:rFonts w:ascii="Times New Roman" w:hAnsi="Times New Roman" w:eastAsia="仿宋"/>
          <w:b/>
          <w:sz w:val="22"/>
        </w:rPr>
        <w:t>Q：能不能只起诉总经理，不动投资者？</w:t>
      </w:r>
    </w:p>
    <w:p>
      <w:pPr>
        <w:spacing w:after="100"/>
      </w:pPr>
      <w:r>
        <w:rPr>
          <w:rFonts w:ascii="Times New Roman" w:hAnsi="Times New Roman" w:eastAsia="仿宋"/>
          <w:b w:val="0"/>
          <w:sz w:val="22"/>
        </w:rPr>
        <w:t>可以。对总经理的请求基于《公司法》第一百八十条、第一百八十八条、第一百九十条，与合同是否撤销是两条独立的线。手里没有投资者「知道」的证据时，这可能是更现实的选择。</w:t>
      </w:r>
    </w:p>
    <w:p>
      <w:pPr>
        <w:spacing w:before="80" w:after="40"/>
      </w:pPr>
      <w:r>
        <w:rPr>
          <w:rFonts w:ascii="Times New Roman" w:hAnsi="Times New Roman" w:eastAsia="仿宋"/>
          <w:b/>
          <w:sz w:val="22"/>
        </w:rPr>
        <w:t>Q：股权已经全部转让，不再是股东了，还能查账吗？</w:t>
      </w:r>
    </w:p>
    <w:p>
      <w:pPr>
        <w:spacing w:after="100"/>
      </w:pPr>
      <w:r>
        <w:rPr>
          <w:rFonts w:ascii="Times New Roman" w:hAnsi="Times New Roman" w:eastAsia="仿宋"/>
          <w:b w:val="0"/>
          <w:sz w:val="22"/>
        </w:rPr>
        <w:t>有路径。《公司法解释（四）》第七条第二款为原股东留了例外：有初步证据证明在持股期间合法权益受到损害的，可以请求查阅或者复制其持股期间的公司特定文件材料。</w:t>
      </w:r>
    </w:p>
    <w:p>
      <w:pPr>
        <w:spacing w:before="80" w:after="40"/>
      </w:pPr>
      <w:r>
        <w:rPr>
          <w:rFonts w:ascii="Times New Roman" w:hAnsi="Times New Roman" w:eastAsia="仿宋"/>
          <w:b/>
          <w:sz w:val="22"/>
        </w:rPr>
        <w:t>Q：投资者愿意补差价，能不能不打官司？</w:t>
      </w:r>
    </w:p>
    <w:p>
      <w:pPr>
        <w:spacing w:after="100"/>
      </w:pPr>
      <w:r>
        <w:rPr>
          <w:rFonts w:ascii="Times New Roman" w:hAnsi="Times New Roman" w:eastAsia="仿宋"/>
          <w:b w:val="0"/>
          <w:sz w:val="22"/>
        </w:rPr>
        <w:t>可以协商解决。需要留意两点：撤销权可以放弃，知道撤销事由后明确表示放弃的，撤销权消灭（《民法典》第一百五十二条第一款第三项）；和解文件里写清楚放弃的范围，尤其是是否保留对总经理的请求。</w:t>
      </w:r>
    </w:p>
    <w:p>
      <w:pPr>
        <w:spacing w:before="160" w:after="80"/>
      </w:pPr>
      <w:r>
        <w:rPr>
          <w:rFonts w:ascii="Times New Roman" w:hAnsi="Times New Roman" w:eastAsia="仿宋"/>
          <w:b/>
          <w:sz w:val="26"/>
        </w:rPr>
        <w:t>九、实务清单</w:t>
      </w:r>
    </w:p>
    <w:p>
      <w:pPr>
        <w:spacing w:after="100"/>
      </w:pPr>
      <w:r>
        <w:rPr>
          <w:rFonts w:ascii="Times New Roman" w:hAnsi="Times New Roman" w:eastAsia="仿宋"/>
          <w:b w:val="0"/>
          <w:sz w:val="22"/>
        </w:rPr>
        <w:t>· 平时：章程里写明财务会计报告送交股东的期限（第二百零九条）；不参与经营的股东，定期行使查阅权，而不是等到要卖股权的时候。</w:t>
      </w:r>
    </w:p>
    <w:p>
      <w:pPr>
        <w:spacing w:after="100"/>
      </w:pPr>
      <w:r>
        <w:rPr>
          <w:rFonts w:ascii="Times New Roman" w:hAnsi="Times New Roman" w:eastAsia="仿宋"/>
          <w:b w:val="0"/>
          <w:sz w:val="22"/>
        </w:rPr>
        <w:t>· 定价时：不把总经理的口头数字当作定价的唯一基础；重大转让前看一次账。</w:t>
      </w:r>
    </w:p>
    <w:p>
      <w:pPr>
        <w:spacing w:after="100"/>
      </w:pPr>
      <w:r>
        <w:rPr>
          <w:rFonts w:ascii="Times New Roman" w:hAnsi="Times New Roman" w:eastAsia="仿宋"/>
          <w:b w:val="0"/>
          <w:sz w:val="22"/>
        </w:rPr>
        <w:t>· 发现后：先固定发现日，再查账，再算期限，最后才是选被告和请求。</w:t>
      </w:r>
    </w:p>
    <w:p>
      <w:pPr>
        <w:spacing w:after="100"/>
      </w:pPr>
      <w:r>
        <w:rPr>
          <w:rFonts w:ascii="Times New Roman" w:hAnsi="Times New Roman" w:eastAsia="仿宋"/>
          <w:b w:val="0"/>
          <w:sz w:val="22"/>
        </w:rPr>
        <w:t>· 投资者：定价依据、信息来源、与高管的关系，三样东西留痕。</w:t>
      </w:r>
    </w:p>
    <w:p>
      <w:pPr>
        <w:spacing w:before="160" w:after="80"/>
      </w:pPr>
      <w:r>
        <w:rPr>
          <w:rFonts w:ascii="Times New Roman" w:hAnsi="Times New Roman" w:eastAsia="仿宋"/>
          <w:b/>
          <w:sz w:val="26"/>
        </w:rPr>
        <w:t>本篇主要依据</w:t>
      </w:r>
    </w:p>
    <w:p>
      <w:pPr>
        <w:spacing w:after="100"/>
      </w:pPr>
      <w:r>
        <w:rPr>
          <w:rFonts w:ascii="Times New Roman" w:hAnsi="Times New Roman" w:eastAsia="仿宋"/>
          <w:b w:val="0"/>
          <w:sz w:val="22"/>
        </w:rPr>
        <w:t>· 《中华人民共和国公司法》（2023 修订，2024 年 7 月 1 日施行）第五十七条、第一百八十条、第一百八十一条、第一百八十六条、第一百八十八条、第一百八十九条、第一百九十条、第二百零九条、第二百一十七条、第二百六十五条</w:t>
      </w:r>
    </w:p>
    <w:p>
      <w:pPr>
        <w:spacing w:after="100"/>
      </w:pPr>
      <w:r>
        <w:rPr>
          <w:rFonts w:ascii="Times New Roman" w:hAnsi="Times New Roman" w:eastAsia="仿宋"/>
          <w:b w:val="0"/>
          <w:sz w:val="22"/>
        </w:rPr>
        <w:t>· 《最高人民法院关于适用〈中华人民共和国公司法〉若干问题的规定（四）》（2020 修正）第七条、第二十五条</w:t>
      </w:r>
    </w:p>
    <w:p>
      <w:pPr>
        <w:spacing w:after="100"/>
      </w:pPr>
      <w:r>
        <w:rPr>
          <w:rFonts w:ascii="Times New Roman" w:hAnsi="Times New Roman" w:eastAsia="仿宋"/>
          <w:b w:val="0"/>
          <w:sz w:val="22"/>
        </w:rPr>
        <w:t>· 《中华人民共和国民法典》（2021 年 1 月 1 日施行）第一百五十二条、第一百五十七条、第一百八十八条</w:t>
      </w:r>
    </w:p>
    <w:p>
      <w:pPr>
        <w:spacing w:after="100"/>
      </w:pPr>
      <w:r>
        <w:rPr>
          <w:rFonts w:ascii="Times New Roman" w:hAnsi="Times New Roman" w:eastAsia="仿宋"/>
          <w:b w:val="0"/>
          <w:sz w:val="22"/>
        </w:rPr>
        <w:t>· 《最高人民法院关于适用〈中华人民共和国民法典〉合同编通则若干问题的解释》（法释〔2023〕13 号）第二十三条</w:t>
      </w:r>
    </w:p>
    <w:p>
      <w:pPr>
        <w:spacing w:after="100"/>
      </w:pPr>
      <w:r>
        <w:rPr>
          <w:rFonts w:ascii="Times New Roman" w:hAnsi="Times New Roman" w:eastAsia="仿宋"/>
          <w:b w:val="0"/>
          <w:sz w:val="22"/>
        </w:rPr>
        <w:t>· 《中华人民共和国民事诉讼法》（2023 修正）第一百零三条</w:t>
      </w:r>
    </w:p>
    <w:p>
      <w:pPr>
        <w:spacing w:after="100"/>
      </w:pPr>
      <w:r>
        <w:rPr>
          <w:rFonts w:ascii="Times New Roman" w:hAnsi="Times New Roman" w:eastAsia="仿宋"/>
          <w:b w:val="0"/>
          <w:sz w:val="22"/>
        </w:rPr>
        <w:t>· 北京市第三中级人民法院发布的公司类纠纷典型案例（之十五，损害股东利益责任纠纷）；（2021）皖 11 民终 1190 号二审民事判决</w:t>
      </w:r>
    </w:p>
    <w:p>
      <w:pPr>
        <w:spacing w:after="100"/>
      </w:pPr>
      <w:r>
        <w:rPr>
          <w:rFonts w:ascii="Times New Roman" w:hAnsi="Times New Roman" w:eastAsia="仿宋"/>
          <w:b w:val="0"/>
          <w:color w:val="333333"/>
          <w:sz w:val="21"/>
        </w:rPr>
        <w:t>【说明】本文为法律问题的研究与学习材料，免费提供，仅供参考学习之用，不构成对任何具体事项的法律意见。所引条文以写作时检索的现行有效版本为准，法律法规及监管口径可能变动，内容可能更新不及时或不准确。交易发生在现行《公司法》《民法典》施行之前的，应当按行为时的法律另行核对。具体事项请咨询您的律师。</w:t>
      </w:r>
    </w:p>
    <w:sectPr w:rsidR="00FC693F" w:rsidRPr="0006063C" w:rsidSect="00034616">
      <w:pgSz w:w="12240" w:h="15840"/>
      <w:pgMar w:top="1417" w:right="1587" w:bottom="1417"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仿宋"/>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高管隐瞒利润与投资者责任备忘录</dc:title>
  <dc:subject/>
  <dc:creator>谭棉花律师法律文书库</dc:creator>
  <cp:keywords/>
  <dc:description>generated by python-docx</dc:description>
  <cp:lastModifiedBy/>
  <cp:revision>1</cp:revision>
  <dcterms:created xsi:type="dcterms:W3CDTF">2013-12-23T23:15:00Z</dcterms:created>
  <dcterms:modified xsi:type="dcterms:W3CDTF">2013-12-23T23:15:00Z</dcterms:modified>
  <cp:category/>
</cp:coreProperties>
</file>