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0" w:after="80"/>
        <w:jc w:val="center"/>
      </w:pPr>
      <w:r>
        <w:rPr>
          <w:rFonts w:ascii="Times New Roman" w:hAnsi="Times New Roman" w:eastAsia="仿宋"/>
          <w:b/>
          <w:sz w:val="38"/>
        </w:rPr>
        <w:t>财务造假民事责任备忘录</w:t>
      </w:r>
    </w:p>
    <w:p>
      <w:pPr>
        <w:spacing w:after="320"/>
        <w:jc w:val="center"/>
      </w:pPr>
      <w:r>
        <w:rPr>
          <w:rFonts w:ascii="Times New Roman" w:hAnsi="Times New Roman" w:eastAsia="仿宋"/>
          <w:b/>
          <w:sz w:val="24"/>
        </w:rPr>
        <w:t>——认定的四道关 · 谁来赔 · 看门人的边界（三篇合订）</w:t>
      </w:r>
    </w:p>
    <w:p>
      <w:pPr>
        <w:spacing w:after="40"/>
        <w:jc w:val="center"/>
      </w:pPr>
      <w:r>
        <w:rPr>
          <w:rFonts w:ascii="Times New Roman" w:hAnsi="Times New Roman" w:eastAsia="仿宋"/>
          <w:b w:val="0"/>
          <w:color w:val="555555"/>
          <w:sz w:val="22"/>
        </w:rPr>
        <w:t>谭棉花律师法律文书库 · 研究专栏</w:t>
      </w:r>
    </w:p>
    <w:p>
      <w:pPr>
        <w:spacing w:after="100"/>
        <w:jc w:val="center"/>
      </w:pPr>
      <w:r>
        <w:rPr>
          <w:rFonts w:ascii="Times New Roman" w:hAnsi="Times New Roman" w:eastAsia="仿宋"/>
          <w:b w:val="0"/>
          <w:color w:val="555555"/>
          <w:sz w:val="20"/>
        </w:rPr>
        <w:t>本备忘录为网站三篇系列文章的合订版，免费提供，仅供参考学习之用，不构成对任何具体事项的法律意见。所引条文以写作时检索的现行有效版本为准。</w:t>
      </w:r>
    </w:p>
    <w:p/>
    <w:p>
      <w:pPr>
        <w:spacing w:before="360" w:after="120"/>
      </w:pPr>
      <w:r>
        <w:rPr>
          <w:rFonts w:ascii="Times New Roman" w:hAnsi="Times New Roman" w:eastAsia="仿宋"/>
          <w:b/>
          <w:sz w:val="30"/>
        </w:rPr>
        <w:t>第一篇　财务数字被做了手脚，到判决赔偿之前要过四道关。</w:t>
      </w:r>
    </w:p>
    <w:p>
      <w:pPr>
        <w:spacing w:before="160" w:after="80"/>
      </w:pPr>
      <w:r>
        <w:rPr>
          <w:rFonts w:ascii="Times New Roman" w:hAnsi="Times New Roman" w:eastAsia="仿宋"/>
          <w:b/>
          <w:sz w:val="26"/>
        </w:rPr>
        <w:t>一、为什么财务造假要单独拿出来讲</w:t>
      </w:r>
    </w:p>
    <w:p>
      <w:pPr>
        <w:spacing w:after="100"/>
      </w:pPr>
      <w:r>
        <w:rPr>
          <w:rFonts w:ascii="Times New Roman" w:hAnsi="Times New Roman" w:eastAsia="仿宋"/>
          <w:b w:val="0"/>
          <w:sz w:val="22"/>
        </w:rPr>
        <w:t>北京金融法院审判第二庭丁宇翔庭长近期撰文①，以信息披露内容是否直接涉及财务事项为标准，把证券虚假陈述分为财务性和非财务性两类：前者如财务报告虚增收入，后者如重大诉讼、重要人事变更没有及时披露。司法解释给「虚假记载」下定义时，第一句话也落在财务数据上：</w:t>
      </w:r>
    </w:p>
    <w:p>
      <w:pPr>
        <w:spacing w:after="100"/>
      </w:pPr>
      <w:r>
        <w:rPr>
          <w:rFonts w:ascii="Times New Roman" w:hAnsi="Times New Roman" w:eastAsia="仿宋"/>
          <w:b w:val="0"/>
          <w:color w:val="333333"/>
          <w:sz w:val="21"/>
        </w:rPr>
        <w:t>【要点】虚假记载，是指信息披露义务人披露的信息中对相关财务数据进行重大不实记载，或者对其他重要信息作出与真实情况不符的描述。——《最高人民法院关于审理证券市场虚假陈述侵权民事赔偿案件的若干规定》第四条第二款</w:t>
      </w:r>
    </w:p>
    <w:p>
      <w:pPr>
        <w:spacing w:after="100"/>
      </w:pPr>
      <w:r>
        <w:rPr>
          <w:rFonts w:ascii="Times New Roman" w:hAnsi="Times New Roman" w:eastAsia="仿宋"/>
          <w:b w:val="0"/>
          <w:sz w:val="22"/>
        </w:rPr>
        <w:t>该文指出，财务性虚假陈述的专业技术性更强，识别和认定的难度更大，而且往往要把会计操作和虚假交易结合起来，形成互相印证的表象。落到民事诉讼里，这意味着两点。一是一个数字是不是「不实」，要回到会计准则、审计准则和原始凭证里去判断，不是看一眼公告就能下结论。二是牵涉的人多：合同、发票、出入库单和资金流水要对得上，就会把公司以外的供应商、客户、银行，以及审计机构、保荐机构都卷进来。</w:t>
      </w:r>
    </w:p>
    <w:p>
      <w:pPr>
        <w:spacing w:after="100"/>
      </w:pPr>
      <w:r>
        <w:rPr>
          <w:rFonts w:ascii="Times New Roman" w:hAnsi="Times New Roman" w:eastAsia="仿宋"/>
          <w:b w:val="0"/>
          <w:sz w:val="22"/>
        </w:rPr>
        <w:t>本专题只讲民事赔偿：投资者能不能索赔、向谁索赔、各方怎样抗辩。行政处罚和刑事责任另有规则，不在本专题展开。第一篇先讲认定——从「会计处理有问题」到「法院判决赔偿」，中间至少要过四道关。</w:t>
      </w:r>
    </w:p>
    <w:p>
      <w:pPr>
        <w:spacing w:after="100"/>
      </w:pPr>
      <w:r>
        <w:rPr>
          <w:rFonts w:ascii="Times New Roman" w:hAnsi="Times New Roman" w:eastAsia="仿宋"/>
          <w:b w:val="0"/>
          <w:color w:val="333333"/>
          <w:sz w:val="21"/>
        </w:rPr>
        <w:t>【说明】现行规则是 2022 年 1 月 22 日施行的《最高人民法院关于审理证券市场虚假陈述侵权民事赔偿案件的若干规定》（法释〔2022〕2 号，下称《若干规定》）。原《最高人民法院关于审理证券市场因虚假陈述引发的民事赔偿案件的若干规定》（法释〔2003〕2 号）和《最高人民法院关于受理证券市场因虚假陈述引发的民事侵权纠纷案件有关问题的通知》已同时废止；新规定施行后尚未终审的案件，适用新规定（第三十五条）。本专题第二、三篇提到的几起知名案件，多数在新规定施行之前作出判决，引用时要留意这一点。</w:t>
      </w:r>
    </w:p>
    <w:p>
      <w:pPr>
        <w:spacing w:before="160" w:after="80"/>
      </w:pPr>
      <w:r>
        <w:rPr>
          <w:rFonts w:ascii="Times New Roman" w:hAnsi="Times New Roman" w:eastAsia="仿宋"/>
          <w:b/>
          <w:sz w:val="26"/>
        </w:rPr>
        <w:t>二、先认识六类常见形态</w:t>
      </w:r>
    </w:p>
    <w:p>
      <w:pPr>
        <w:spacing w:after="100"/>
      </w:pPr>
      <w:r>
        <w:rPr>
          <w:rFonts w:ascii="Times New Roman" w:hAnsi="Times New Roman" w:eastAsia="仿宋"/>
          <w:b w:val="0"/>
          <w:sz w:val="22"/>
        </w:rPr>
        <w:t>丁宇翔文把司法实践中常见的财务性虚假陈述归纳为六类。下表按这一分类整理，「审查要点」一栏为本文补充：</w:t>
      </w:r>
    </w:p>
    <w:tbl>
      <w:tblPr>
        <w:tblStyle w:val="TableGrid"/>
        <w:tblW w:type="auto" w:w="0"/>
        <w:tblLook w:firstColumn="1" w:firstRow="1" w:lastColumn="0" w:lastRow="0" w:noHBand="0" w:noVBand="1" w:val="04A0"/>
      </w:tblPr>
      <w:tblGrid>
        <w:gridCol w:w="3022"/>
        <w:gridCol w:w="3022"/>
        <w:gridCol w:w="3022"/>
      </w:tblGrid>
      <w:tr>
        <w:tc>
          <w:tcPr>
            <w:tcW w:type="dxa" w:w="3022"/>
          </w:tcPr>
          <w:p>
            <w:r>
              <w:rPr>
                <w:rFonts w:ascii="Times New Roman" w:hAnsi="Times New Roman" w:eastAsia="仿宋"/>
                <w:b/>
                <w:sz w:val="20"/>
              </w:rPr>
              <w:t>形态</w:t>
            </w:r>
          </w:p>
        </w:tc>
        <w:tc>
          <w:tcPr>
            <w:tcW w:type="dxa" w:w="3022"/>
          </w:tcPr>
          <w:p>
            <w:r>
              <w:rPr>
                <w:rFonts w:ascii="Times New Roman" w:hAnsi="Times New Roman" w:eastAsia="仿宋"/>
                <w:b/>
                <w:sz w:val="20"/>
              </w:rPr>
              <w:t>常见做法</w:t>
            </w:r>
          </w:p>
        </w:tc>
        <w:tc>
          <w:tcPr>
            <w:tcW w:type="dxa" w:w="3022"/>
          </w:tcPr>
          <w:p>
            <w:r>
              <w:rPr>
                <w:rFonts w:ascii="Times New Roman" w:hAnsi="Times New Roman" w:eastAsia="仿宋"/>
                <w:b/>
                <w:sz w:val="20"/>
              </w:rPr>
              <w:t>审查要点</w:t>
            </w:r>
          </w:p>
        </w:tc>
      </w:tr>
      <w:tr>
        <w:tc>
          <w:tcPr>
            <w:tcW w:type="dxa" w:w="3022"/>
          </w:tcPr>
          <w:p>
            <w:r>
              <w:rPr>
                <w:rFonts w:ascii="Times New Roman" w:hAnsi="Times New Roman" w:eastAsia="仿宋"/>
                <w:b w:val="0"/>
                <w:sz w:val="20"/>
              </w:rPr>
              <w:t>收入确认不当</w:t>
            </w:r>
          </w:p>
        </w:tc>
        <w:tc>
          <w:tcPr>
            <w:tcW w:type="dxa" w:w="3022"/>
          </w:tcPr>
          <w:p>
            <w:r>
              <w:rPr>
                <w:rFonts w:ascii="Times New Roman" w:hAnsi="Times New Roman" w:eastAsia="仿宋"/>
                <w:b w:val="0"/>
                <w:sz w:val="20"/>
              </w:rPr>
              <w:t>虚构收入；提前或推迟确认收入；本应按净额确认却按总额确认</w:t>
            </w:r>
          </w:p>
        </w:tc>
        <w:tc>
          <w:tcPr>
            <w:tcW w:type="dxa" w:w="3022"/>
          </w:tcPr>
          <w:p>
            <w:r>
              <w:rPr>
                <w:rFonts w:ascii="Times New Roman" w:hAnsi="Times New Roman" w:eastAsia="仿宋"/>
                <w:b w:val="0"/>
                <w:sz w:val="20"/>
              </w:rPr>
              <w:t>交易是否真实；商品控制权何时转移；公司在交易中是主要责任人还是代理人</w:t>
            </w:r>
          </w:p>
        </w:tc>
      </w:tr>
      <w:tr>
        <w:tc>
          <w:tcPr>
            <w:tcW w:type="dxa" w:w="3022"/>
          </w:tcPr>
          <w:p>
            <w:r>
              <w:rPr>
                <w:rFonts w:ascii="Times New Roman" w:hAnsi="Times New Roman" w:eastAsia="仿宋"/>
                <w:b w:val="0"/>
                <w:sz w:val="20"/>
              </w:rPr>
              <w:t>虚增资产</w:t>
            </w:r>
          </w:p>
        </w:tc>
        <w:tc>
          <w:tcPr>
            <w:tcW w:type="dxa" w:w="3022"/>
          </w:tcPr>
          <w:p>
            <w:r>
              <w:rPr>
                <w:rFonts w:ascii="Times New Roman" w:hAnsi="Times New Roman" w:eastAsia="仿宋"/>
                <w:b w:val="0"/>
                <w:sz w:val="20"/>
              </w:rPr>
              <w:t>虚增存货、多计应收账款、把不满足条件的项目计入固定资产或在建工程</w:t>
            </w:r>
          </w:p>
        </w:tc>
        <w:tc>
          <w:tcPr>
            <w:tcW w:type="dxa" w:w="3022"/>
          </w:tcPr>
          <w:p>
            <w:r>
              <w:rPr>
                <w:rFonts w:ascii="Times New Roman" w:hAnsi="Times New Roman" w:eastAsia="仿宋"/>
                <w:b w:val="0"/>
                <w:sz w:val="20"/>
              </w:rPr>
              <w:t>盘点、函证是否到位；资产是否满足确认条件</w:t>
            </w:r>
          </w:p>
        </w:tc>
      </w:tr>
      <w:tr>
        <w:tc>
          <w:tcPr>
            <w:tcW w:type="dxa" w:w="3022"/>
          </w:tcPr>
          <w:p>
            <w:r>
              <w:rPr>
                <w:rFonts w:ascii="Times New Roman" w:hAnsi="Times New Roman" w:eastAsia="仿宋"/>
                <w:b w:val="0"/>
                <w:sz w:val="20"/>
              </w:rPr>
              <w:t>减值准备计提不当</w:t>
            </w:r>
          </w:p>
        </w:tc>
        <w:tc>
          <w:tcPr>
            <w:tcW w:type="dxa" w:w="3022"/>
          </w:tcPr>
          <w:p>
            <w:r>
              <w:rPr>
                <w:rFonts w:ascii="Times New Roman" w:hAnsi="Times New Roman" w:eastAsia="仿宋"/>
                <w:b w:val="0"/>
                <w:sz w:val="20"/>
              </w:rPr>
              <w:t>存货跌价、长期股权投资、商誉、应收账款坏账准备少提、不提或推迟提</w:t>
            </w:r>
          </w:p>
        </w:tc>
        <w:tc>
          <w:tcPr>
            <w:tcW w:type="dxa" w:w="3022"/>
          </w:tcPr>
          <w:p>
            <w:r>
              <w:rPr>
                <w:rFonts w:ascii="Times New Roman" w:hAnsi="Times New Roman" w:eastAsia="仿宋"/>
                <w:b w:val="0"/>
                <w:sz w:val="20"/>
              </w:rPr>
              <w:t>资产负债表日有没有减值迹象；减值测试的参数有没有依据</w:t>
            </w:r>
          </w:p>
        </w:tc>
      </w:tr>
      <w:tr>
        <w:tc>
          <w:tcPr>
            <w:tcW w:type="dxa" w:w="3022"/>
          </w:tcPr>
          <w:p>
            <w:r>
              <w:rPr>
                <w:rFonts w:ascii="Times New Roman" w:hAnsi="Times New Roman" w:eastAsia="仿宋"/>
                <w:b w:val="0"/>
                <w:sz w:val="20"/>
              </w:rPr>
              <w:t>费用不当资本化</w:t>
            </w:r>
          </w:p>
        </w:tc>
        <w:tc>
          <w:tcPr>
            <w:tcW w:type="dxa" w:w="3022"/>
          </w:tcPr>
          <w:p>
            <w:r>
              <w:rPr>
                <w:rFonts w:ascii="Times New Roman" w:hAnsi="Times New Roman" w:eastAsia="仿宋"/>
                <w:b w:val="0"/>
                <w:sz w:val="20"/>
              </w:rPr>
              <w:t>研发支出、借款费用该费用化的被资本化</w:t>
            </w:r>
          </w:p>
        </w:tc>
        <w:tc>
          <w:tcPr>
            <w:tcW w:type="dxa" w:w="3022"/>
          </w:tcPr>
          <w:p>
            <w:r>
              <w:rPr>
                <w:rFonts w:ascii="Times New Roman" w:hAnsi="Times New Roman" w:eastAsia="仿宋"/>
                <w:b w:val="0"/>
                <w:sz w:val="20"/>
              </w:rPr>
              <w:t>项目处在研究阶段还是开发阶段；资本化条件是否逐项满足</w:t>
            </w:r>
          </w:p>
        </w:tc>
      </w:tr>
      <w:tr>
        <w:tc>
          <w:tcPr>
            <w:tcW w:type="dxa" w:w="3022"/>
          </w:tcPr>
          <w:p>
            <w:r>
              <w:rPr>
                <w:rFonts w:ascii="Times New Roman" w:hAnsi="Times New Roman" w:eastAsia="仿宋"/>
                <w:b w:val="0"/>
                <w:sz w:val="20"/>
              </w:rPr>
              <w:t>非经营性资金占用</w:t>
            </w:r>
          </w:p>
        </w:tc>
        <w:tc>
          <w:tcPr>
            <w:tcW w:type="dxa" w:w="3022"/>
          </w:tcPr>
          <w:p>
            <w:r>
              <w:rPr>
                <w:rFonts w:ascii="Times New Roman" w:hAnsi="Times New Roman" w:eastAsia="仿宋"/>
                <w:b w:val="0"/>
                <w:sz w:val="20"/>
              </w:rPr>
              <w:t>直接借给控股股东或关联方；虚构采购、超额预付；以存单、票据质押为关联方融资</w:t>
            </w:r>
          </w:p>
        </w:tc>
        <w:tc>
          <w:tcPr>
            <w:tcW w:type="dxa" w:w="3022"/>
          </w:tcPr>
          <w:p>
            <w:r>
              <w:rPr>
                <w:rFonts w:ascii="Times New Roman" w:hAnsi="Times New Roman" w:eastAsia="仿宋"/>
                <w:b w:val="0"/>
                <w:sz w:val="20"/>
              </w:rPr>
              <w:t>是否达到应当披露的标准；资金最终流向谁</w:t>
            </w:r>
          </w:p>
        </w:tc>
      </w:tr>
      <w:tr>
        <w:tc>
          <w:tcPr>
            <w:tcW w:type="dxa" w:w="3022"/>
          </w:tcPr>
          <w:p>
            <w:r>
              <w:rPr>
                <w:rFonts w:ascii="Times New Roman" w:hAnsi="Times New Roman" w:eastAsia="仿宋"/>
                <w:b w:val="0"/>
                <w:sz w:val="20"/>
              </w:rPr>
              <w:t>合并报表操纵</w:t>
            </w:r>
          </w:p>
        </w:tc>
        <w:tc>
          <w:tcPr>
            <w:tcW w:type="dxa" w:w="3022"/>
          </w:tcPr>
          <w:p>
            <w:r>
              <w:rPr>
                <w:rFonts w:ascii="Times New Roman" w:hAnsi="Times New Roman" w:eastAsia="仿宋"/>
                <w:b w:val="0"/>
                <w:sz w:val="20"/>
              </w:rPr>
              <w:t>该合并不合并、不该合并却合并，或者人为调整合并时点</w:t>
            </w:r>
          </w:p>
        </w:tc>
        <w:tc>
          <w:tcPr>
            <w:tcW w:type="dxa" w:w="3022"/>
          </w:tcPr>
          <w:p>
            <w:r>
              <w:rPr>
                <w:rFonts w:ascii="Times New Roman" w:hAnsi="Times New Roman" w:eastAsia="仿宋"/>
                <w:b w:val="0"/>
                <w:sz w:val="20"/>
              </w:rPr>
              <w:t>按实质判断，公司对被投资企业是否已经形成控制</w:t>
            </w:r>
          </w:p>
        </w:tc>
      </w:tr>
    </w:tbl>
    <w:p/>
    <w:p>
      <w:pPr>
        <w:spacing w:after="100"/>
      </w:pPr>
      <w:r>
        <w:rPr>
          <w:rFonts w:ascii="Times New Roman" w:hAnsi="Times New Roman" w:eastAsia="仿宋"/>
          <w:b w:val="0"/>
          <w:sz w:val="22"/>
        </w:rPr>
        <w:t>该文还指出，这些手法之间有明显的伴生性：为了让一笔虚构的收入经得起核对，可能还要虚增应收账款或货币资金去配合；前一年的虚增，又要靠后一年的新操作来掩盖。这种「成组出现」的特点，引出了第一道关。</w:t>
      </w:r>
    </w:p>
    <w:p>
      <w:pPr>
        <w:spacing w:before="160" w:after="80"/>
      </w:pPr>
      <w:r>
        <w:rPr>
          <w:rFonts w:ascii="Times New Roman" w:hAnsi="Times New Roman" w:eastAsia="仿宋"/>
          <w:b/>
          <w:sz w:val="26"/>
        </w:rPr>
        <w:t>三、第一道关：是一个虚假陈述，还是几个</w:t>
      </w:r>
    </w:p>
    <w:p>
      <w:pPr>
        <w:spacing w:after="100"/>
      </w:pPr>
      <w:r>
        <w:rPr>
          <w:rFonts w:ascii="Times New Roman" w:hAnsi="Times New Roman" w:eastAsia="仿宋"/>
          <w:b w:val="0"/>
          <w:sz w:val="22"/>
        </w:rPr>
        <w:t>一家公司连续几年、在几个科目上都有问题，法院会把它认定为一个虚假陈述，还是几个？这不是文字游戏。《若干规定》对揭露日是这样规定的：</w:t>
      </w:r>
    </w:p>
    <w:p>
      <w:pPr>
        <w:spacing w:after="100"/>
      </w:pPr>
      <w:r>
        <w:rPr>
          <w:rFonts w:ascii="Times New Roman" w:hAnsi="Times New Roman" w:eastAsia="仿宋"/>
          <w:b w:val="0"/>
          <w:color w:val="333333"/>
          <w:sz w:val="21"/>
        </w:rPr>
        <w:t>【要点】信息披露义务人实施的虚假陈述呈连续状态的，以首次被公开揭露并为证券市场知悉之日为揭露日。信息披露义务人实施多个相互独立的虚假陈述的，人民法院应当分别认定其揭露日。——《若干规定》第八条第四款</w:t>
      </w:r>
    </w:p>
    <w:p>
      <w:pPr>
        <w:spacing w:after="100"/>
      </w:pPr>
      <w:r>
        <w:rPr>
          <w:rFonts w:ascii="Times New Roman" w:hAnsi="Times New Roman" w:eastAsia="仿宋"/>
          <w:b w:val="0"/>
          <w:sz w:val="22"/>
        </w:rPr>
        <w:t>实施日和揭露日一旦确定，「哪些投资者可以索赔」也就基本划定了：投资者要在实施日之后、揭露日或更正日之前买入（诱空型虚假陈述则为卖出），交易因果关系才能成立（第十一条第三项）。认定成一个还是几个虚假陈述，直接改变可以索赔的人群和损失的计算。</w:t>
      </w:r>
    </w:p>
    <w:p>
      <w:pPr>
        <w:spacing w:after="100"/>
      </w:pPr>
      <w:r>
        <w:rPr>
          <w:rFonts w:ascii="Times New Roman" w:hAnsi="Times New Roman" w:eastAsia="仿宋"/>
          <w:b w:val="0"/>
          <w:sz w:val="22"/>
        </w:rPr>
        <w:t>怎么区分？丁宇翔文提出了一个分析框架，可以概括为两类：</w:t>
      </w:r>
    </w:p>
    <w:p>
      <w:pPr>
        <w:spacing w:after="100"/>
      </w:pPr>
      <w:r>
        <w:rPr>
          <w:rFonts w:ascii="Times New Roman" w:hAnsi="Times New Roman" w:eastAsia="仿宋"/>
          <w:b w:val="0"/>
          <w:sz w:val="22"/>
        </w:rPr>
        <w:t>· 宜认定为一个的：几个行为之间是目的与手段的关系（为了虚增收入而伪造合同和出库单），或者后一个是为了掩盖前一个（第一年虚增存货，第二年把这批「存货」做成销售收入，第三年再挂成应收账款），或者后一个包含了前一个（半年报虚增在建工程，年报在此基础上继续虚增）。</w:t>
      </w:r>
    </w:p>
    <w:p>
      <w:pPr>
        <w:spacing w:after="100"/>
      </w:pPr>
      <w:r>
        <w:rPr>
          <w:rFonts w:ascii="Times New Roman" w:hAnsi="Times New Roman" w:eastAsia="仿宋"/>
          <w:b w:val="0"/>
          <w:sz w:val="22"/>
        </w:rPr>
        <w:t>· 宜认定为几个的：彼此没有直接关联的「平行」舞弊，例如控股股东占用资金未披露、通过子公司虚构业务确认收入、商誉出现减值迹象却连续不计提，三者各自独立。</w:t>
      </w:r>
    </w:p>
    <w:p>
      <w:pPr>
        <w:spacing w:after="100"/>
      </w:pPr>
      <w:r>
        <w:rPr>
          <w:rFonts w:ascii="Times New Roman" w:hAnsi="Times New Roman" w:eastAsia="仿宋"/>
          <w:b w:val="0"/>
          <w:sz w:val="22"/>
        </w:rPr>
        <w:t>这是一种分析思路，不是司法解释的明文。该文也指出，第八条第四款的适用还在积累经验，个案中还要结合投资者买入时间的分布、损失能否计算等因素综合确定。</w:t>
      </w:r>
    </w:p>
    <w:p>
      <w:pPr>
        <w:spacing w:before="160" w:after="80"/>
      </w:pPr>
      <w:r>
        <w:rPr>
          <w:rFonts w:ascii="Times New Roman" w:hAnsi="Times New Roman" w:eastAsia="仿宋"/>
          <w:b/>
          <w:sz w:val="26"/>
        </w:rPr>
        <w:t>四、第二道关：重大性</w:t>
      </w:r>
    </w:p>
    <w:p>
      <w:pPr>
        <w:spacing w:after="100"/>
      </w:pPr>
      <w:r>
        <w:rPr>
          <w:rFonts w:ascii="Times New Roman" w:hAnsi="Times New Roman" w:eastAsia="仿宋"/>
          <w:b w:val="0"/>
          <w:sz w:val="22"/>
        </w:rPr>
        <w:t>不是每一处不实记载都会引发赔偿。《若干规定》第十条列了三种「应当认定具有重大性」的情形：</w:t>
      </w:r>
    </w:p>
    <w:p>
      <w:pPr>
        <w:spacing w:after="100"/>
      </w:pPr>
      <w:r>
        <w:rPr>
          <w:rFonts w:ascii="Times New Roman" w:hAnsi="Times New Roman" w:eastAsia="仿宋"/>
          <w:b w:val="0"/>
          <w:color w:val="333333"/>
          <w:sz w:val="21"/>
        </w:rPr>
        <w:t>【要点】（一）虚假陈述的内容属于证券法第八十条第二款、第八十一条第二款规定的重大事件；（二）虚假陈述的内容属于监管部门制定的规章和规范性文件中要求披露的重大事件或者重要事项；（三）虚假陈述的实施、揭露或者更正导致相关证券的交易价格或者交易量产生明显的变化。——《若干规定》第十条第一款</w:t>
      </w:r>
    </w:p>
    <w:p>
      <w:pPr>
        <w:spacing w:after="100"/>
      </w:pPr>
      <w:r>
        <w:rPr>
          <w:rFonts w:ascii="Times New Roman" w:hAnsi="Times New Roman" w:eastAsia="仿宋"/>
          <w:b w:val="0"/>
          <w:sz w:val="22"/>
        </w:rPr>
        <w:t>同时留了一个出口：属于前两种情形的，被告提交证据足以证明虚假陈述并未导致交易价格或者交易量明显变化，法院应当认定不具有重大性（第十条第二款）；被告能够证明不具有重大性的，可以据此抗辩不承担民事责任（第十条第三款）。</w:t>
      </w:r>
    </w:p>
    <w:p>
      <w:pPr>
        <w:spacing w:after="100"/>
      </w:pPr>
      <w:r>
        <w:rPr>
          <w:rFonts w:ascii="Times New Roman" w:hAnsi="Times New Roman" w:eastAsia="仿宋"/>
          <w:b w:val="0"/>
          <w:sz w:val="22"/>
        </w:rPr>
        <w:t>难点在于「明显」。价格和成交量有变化，但够不够「明显」，可能各说各话。对这种情形，丁宇翔文主张把盈亏性质是否改变作为重要的判断因素：更正之后由盈转亏的，可以认定具有重大性；更正后盈亏情况不变的，可以认定不具有重大性。这是丁宇翔文的观点，并非司法解释的规定，但它给出了一个比「量价变化是否明显」更容易举证的抓手。需要注意，这一因素只在量价变化是否「明显」存在争议时起作用；按第十条第二款，被告的反证最终仍要落在市场反应上。</w:t>
      </w:r>
    </w:p>
    <w:p>
      <w:pPr>
        <w:spacing w:after="100"/>
      </w:pPr>
      <w:r>
        <w:rPr>
          <w:rFonts w:ascii="Times New Roman" w:hAnsi="Times New Roman" w:eastAsia="仿宋"/>
          <w:b w:val="0"/>
          <w:sz w:val="22"/>
        </w:rPr>
        <w:t>丁宇翔文还提到另两个因素：</w:t>
      </w:r>
    </w:p>
    <w:p>
      <w:pPr>
        <w:spacing w:after="100"/>
      </w:pPr>
      <w:r>
        <w:rPr>
          <w:rFonts w:ascii="Times New Roman" w:hAnsi="Times New Roman" w:eastAsia="仿宋"/>
          <w:b w:val="0"/>
          <w:sz w:val="22"/>
        </w:rPr>
        <w:t>· 金额规模。交易所对应当披露的交易设有资产总额、净资产、成交金额等标准，达到标准而不披露或者不按规定披露的，更容易被认定具有重大性；涉及关联交易的，披露门槛更低。交易所规则属于自律规则，不是第十条第一款第二项所说的监管部门规章和规范性文件，更多是在证据层面起作用。</w:t>
      </w:r>
    </w:p>
    <w:p>
      <w:pPr>
        <w:spacing w:after="100"/>
      </w:pPr>
      <w:r>
        <w:rPr>
          <w:rFonts w:ascii="Times New Roman" w:hAnsi="Times New Roman" w:eastAsia="仿宋"/>
          <w:b w:val="0"/>
          <w:sz w:val="22"/>
        </w:rPr>
        <w:t>· 债券不同于股票。债券投资者关心的是到期能不能兑付。丁宇翔文主张，债券虚假陈述的重大性应更注重是否影响发行人的偿债能力：有可靠担保、兑付不受影响的，重大性可能被否定；反过来，债券已经实质违约后才实施或揭露虚假陈述、市场反应平淡的，只要偿债预期因此大幅降低，仍然可以认定具有重大性。这与《全国法院审理债券纠纷案件座谈会纪要》（法〔2020〕185 号）的表述思路相近——纪要在规定发行人内部人的连带责任时，用的标准是虚假陈述「足以影响投资人对发行人偿债能力判断」（第 27 条）。</w:t>
      </w:r>
    </w:p>
    <w:p>
      <w:pPr>
        <w:spacing w:before="160" w:after="80"/>
      </w:pPr>
      <w:r>
        <w:rPr>
          <w:rFonts w:ascii="Times New Roman" w:hAnsi="Times New Roman" w:eastAsia="仿宋"/>
          <w:b/>
          <w:sz w:val="26"/>
        </w:rPr>
        <w:t>五、第三道关：减值准备能不能当「预测」免责</w:t>
      </w:r>
    </w:p>
    <w:p>
      <w:pPr>
        <w:spacing w:after="100"/>
      </w:pPr>
      <w:r>
        <w:rPr>
          <w:rFonts w:ascii="Times New Roman" w:hAnsi="Times New Roman" w:eastAsia="仿宋"/>
          <w:b w:val="0"/>
          <w:sz w:val="22"/>
        </w:rPr>
        <w:t>《若干规定》为预测性信息设了一个「安全港」：</w:t>
      </w:r>
    </w:p>
    <w:p>
      <w:pPr>
        <w:spacing w:after="100"/>
      </w:pPr>
      <w:r>
        <w:rPr>
          <w:rFonts w:ascii="Times New Roman" w:hAnsi="Times New Roman" w:eastAsia="仿宋"/>
          <w:b w:val="0"/>
          <w:color w:val="333333"/>
          <w:sz w:val="21"/>
        </w:rPr>
        <w:t>【要点】原告以信息披露文件中的盈利预测、发展规划等预测性信息与实际经营情况存在重大差异为由主张发行人实施虚假陈述的，人民法院不予支持，但有下列情形之一的除外……——《若干规定》第六条第一款（节录）</w:t>
      </w:r>
    </w:p>
    <w:p>
      <w:pPr>
        <w:spacing w:after="100"/>
      </w:pPr>
      <w:r>
        <w:rPr>
          <w:rFonts w:ascii="Times New Roman" w:hAnsi="Times New Roman" w:eastAsia="仿宋"/>
          <w:b w:val="0"/>
          <w:sz w:val="22"/>
        </w:rPr>
        <w:t>例外有三项：没有对影响预测实现的重要因素充分提示风险；预测所依据的基本假设、会计政策等编制基础明显不合理；前提发生重大变化时没有及时更正。</w:t>
      </w:r>
    </w:p>
    <w:p>
      <w:pPr>
        <w:spacing w:after="100"/>
      </w:pPr>
      <w:r>
        <w:rPr>
          <w:rFonts w:ascii="Times New Roman" w:hAnsi="Times New Roman" w:eastAsia="仿宋"/>
          <w:b w:val="0"/>
          <w:sz w:val="22"/>
        </w:rPr>
        <w:t>减值准备的计提要估计未来现金流、可变现净值，看起来带有「预测」的成分，于是有被告主张它属于预测性信息。丁宇翔文不赞同这种主张：年报里的减值，是对资产负债表日资产价值的调整，反映的是这一会计期间的财务状况，属于历史信息；即便估算中用到了对未来的判断，其基础仍是对既有事实的记录。据此，存货跌价、长期股权投资减值、商誉减值、应收账款坏账准备等，一般不宜认定为预测性信息，援引第六条的安全港抗辩一般不应支持。</w:t>
      </w:r>
    </w:p>
    <w:p>
      <w:pPr>
        <w:spacing w:after="100"/>
      </w:pPr>
      <w:r>
        <w:rPr>
          <w:rFonts w:ascii="Times New Roman" w:hAnsi="Times New Roman" w:eastAsia="仿宋"/>
          <w:b w:val="0"/>
          <w:sz w:val="22"/>
        </w:rPr>
        <w:t>本文的看法与此一致，并补充一点：即使退一步把某项减值估计当作预测性信息，第六条第一款第二项「编制基础明显不合理」这一例外，与减值争议所涉的问题（参数有无依据、是否背离行业走势）正相重合。安全港对减值争议的保护空间很有限。</w:t>
      </w:r>
    </w:p>
    <w:p>
      <w:pPr>
        <w:spacing w:after="100"/>
      </w:pPr>
      <w:r>
        <w:rPr>
          <w:rFonts w:ascii="Times New Roman" w:hAnsi="Times New Roman" w:eastAsia="仿宋"/>
          <w:b w:val="0"/>
          <w:sz w:val="22"/>
        </w:rPr>
        <w:t>与减值相关的另一个问题是会计谨慎性。谨慎性要求不高估资产和收益、不低估负债和费用；但谨慎过了头，同样会扭曲报表——超额计提减值，等于把利润藏起来留到以后释放。丁宇翔文的判断标准是：发行人的「谨慎」或「不谨慎」是否偏离了业务实质和行业的通常水平。这个标准对多计和少计一视同仁。</w:t>
      </w:r>
    </w:p>
    <w:p>
      <w:pPr>
        <w:spacing w:before="160" w:after="80"/>
      </w:pPr>
      <w:r>
        <w:rPr>
          <w:rFonts w:ascii="Times New Roman" w:hAnsi="Times New Roman" w:eastAsia="仿宋"/>
          <w:b/>
          <w:sz w:val="26"/>
        </w:rPr>
        <w:t>六、第四道关：因果关系与损失</w:t>
      </w:r>
    </w:p>
    <w:p>
      <w:pPr>
        <w:spacing w:after="100"/>
      </w:pPr>
      <w:r>
        <w:rPr>
          <w:rFonts w:ascii="Times New Roman" w:hAnsi="Times New Roman" w:eastAsia="仿宋"/>
          <w:b w:val="0"/>
          <w:sz w:val="22"/>
        </w:rPr>
        <w:t>前三关解决「有没有虚假陈述」，第四关解决「投资者的损失是不是它造成的」。</w:t>
      </w:r>
    </w:p>
    <w:p>
      <w:pPr>
        <w:spacing w:after="100"/>
      </w:pPr>
      <w:r>
        <w:rPr>
          <w:rFonts w:ascii="Times New Roman" w:hAnsi="Times New Roman" w:eastAsia="仿宋"/>
          <w:b w:val="0"/>
          <w:sz w:val="22"/>
        </w:rPr>
        <w:t>交易因果关系采取推定：原告证明信息披露义务人实施了虚假陈述、自己交易的是直接关联的证券、并且在实施日之后到揭露日或更正日之前买入（诱多型）或卖出（诱空型），交易因果关系即成立（第十一条）。被告可以反证推翻，例如原告在揭露之后才买入、交易时已经知道虚假陈述、交易是受收购或重大资产重组等其他重大事件影响（第十二条）。2025 年 5 月，最高人民法院、中国证监会联合印发的《关于严格公正执法司法服务保障资本市场高质量发展的指导意见》（法发〔2025〕9 号）第 6 条进一步要求，审查交易因果关系要重点关注虚假陈述是否为投资决策的直接原因、最近原因，以理性投资者的标准判断被告的举证是否充分。</w:t>
      </w:r>
    </w:p>
    <w:p>
      <w:pPr>
        <w:spacing w:after="100"/>
      </w:pPr>
      <w:r>
        <w:rPr>
          <w:rFonts w:ascii="Times New Roman" w:hAnsi="Times New Roman" w:eastAsia="仿宋"/>
          <w:b w:val="0"/>
          <w:sz w:val="22"/>
        </w:rPr>
        <w:t>损失因果关系，也是被告可以着力抗辩的环节：</w:t>
      </w:r>
    </w:p>
    <w:p>
      <w:pPr>
        <w:spacing w:after="100"/>
      </w:pPr>
      <w:r>
        <w:rPr>
          <w:rFonts w:ascii="Times New Roman" w:hAnsi="Times New Roman" w:eastAsia="仿宋"/>
          <w:b w:val="0"/>
          <w:color w:val="333333"/>
          <w:sz w:val="21"/>
        </w:rPr>
        <w:t>【要点】被告能够举证证明原告的损失部分或者全部是由他人操纵市场、证券市场的风险、证券市场对特定事件的过度反应、上市公司内外部经营环境等其他因素所导致的，对其关于相应减轻或者免除责任的抗辩，人民法院应当予以支持。——《若干规定》第三十一条第二款</w:t>
      </w:r>
    </w:p>
    <w:p>
      <w:pPr>
        <w:spacing w:after="100"/>
      </w:pPr>
      <w:r>
        <w:rPr>
          <w:rFonts w:ascii="Times New Roman" w:hAnsi="Times New Roman" w:eastAsia="仿宋"/>
          <w:b w:val="0"/>
          <w:sz w:val="22"/>
        </w:rPr>
        <w:t>财务造假被揭露时，公司可能同时面临业绩下滑、行业周期或者大盘下跌。哪些跌幅归因于虚假陈述、哪些归因于其他因素，常常需要委托专业机构测算。被告如果要主张扣除，需要自己举证。</w:t>
      </w:r>
    </w:p>
    <w:p>
      <w:pPr>
        <w:spacing w:before="160" w:after="80"/>
      </w:pPr>
      <w:r>
        <w:rPr>
          <w:rFonts w:ascii="Times New Roman" w:hAnsi="Times New Roman" w:eastAsia="仿宋"/>
          <w:b/>
          <w:sz w:val="26"/>
        </w:rPr>
        <w:t>七、技术创新中的会计差错，有没有容错空间</w:t>
      </w:r>
    </w:p>
    <w:p>
      <w:pPr>
        <w:spacing w:after="100"/>
      </w:pPr>
      <w:r>
        <w:rPr>
          <w:rFonts w:ascii="Times New Roman" w:hAnsi="Times New Roman" w:eastAsia="仿宋"/>
          <w:b w:val="0"/>
          <w:sz w:val="22"/>
        </w:rPr>
        <w:t>科技企业的会计处理有天然的不确定性：新产品的市场需求难以预测，存货的可变现净值不好估；研发支出何时从研究阶段进入开发阶段、新设备按什么年限折旧，都需要判断。事后看错了，算不算虚假陈述？</w:t>
      </w:r>
    </w:p>
    <w:p>
      <w:pPr>
        <w:spacing w:after="100"/>
      </w:pPr>
      <w:r>
        <w:rPr>
          <w:rFonts w:ascii="Times New Roman" w:hAnsi="Times New Roman" w:eastAsia="仿宋"/>
          <w:b w:val="0"/>
          <w:sz w:val="22"/>
        </w:rPr>
        <w:t>丁宇翔文主张对技术创新中的会计差错审慎容错，并提出同时满足以下条件时，认定侵权责任应当保持审慎：</w:t>
      </w:r>
    </w:p>
    <w:p>
      <w:pPr>
        <w:spacing w:after="100"/>
      </w:pPr>
      <w:r>
        <w:rPr>
          <w:rFonts w:ascii="Times New Roman" w:hAnsi="Times New Roman" w:eastAsia="仿宋"/>
          <w:b w:val="0"/>
          <w:sz w:val="22"/>
        </w:rPr>
        <w:t>· 差错确实由创新过程中无法预见、无法控制的风险引起，举证责任在发行人；</w:t>
      </w:r>
    </w:p>
    <w:p>
      <w:pPr>
        <w:spacing w:after="100"/>
      </w:pPr>
      <w:r>
        <w:rPr>
          <w:rFonts w:ascii="Times New Roman" w:hAnsi="Times New Roman" w:eastAsia="仿宋"/>
          <w:b w:val="0"/>
          <w:sz w:val="22"/>
        </w:rPr>
        <w:t>· 所涉金额在同期总资产、净资产中占比不高，也没有改变盈亏性质；</w:t>
      </w:r>
    </w:p>
    <w:p>
      <w:pPr>
        <w:spacing w:after="100"/>
      </w:pPr>
      <w:r>
        <w:rPr>
          <w:rFonts w:ascii="Times New Roman" w:hAnsi="Times New Roman" w:eastAsia="仿宋"/>
          <w:b w:val="0"/>
          <w:sz w:val="22"/>
        </w:rPr>
        <w:t>· 创新项目的重大进展、风险和结果，公司已经及时披露；</w:t>
      </w:r>
    </w:p>
    <w:p>
      <w:pPr>
        <w:spacing w:after="100"/>
      </w:pPr>
      <w:r>
        <w:rPr>
          <w:rFonts w:ascii="Times New Roman" w:hAnsi="Times New Roman" w:eastAsia="仿宋"/>
          <w:b w:val="0"/>
          <w:sz w:val="22"/>
        </w:rPr>
        <w:t>· 差错一经发现，在监管部门责令改正或董事会作出更正决定后随即公告。</w:t>
      </w:r>
    </w:p>
    <w:p>
      <w:pPr>
        <w:spacing w:after="100"/>
      </w:pPr>
      <w:r>
        <w:rPr>
          <w:rFonts w:ascii="Times New Roman" w:hAnsi="Times New Roman" w:eastAsia="仿宋"/>
          <w:b w:val="0"/>
          <w:sz w:val="22"/>
        </w:rPr>
        <w:t>需要说明：这是丁宇翔文的个人学术观点，《若干规定》没有专门的「创新容错」条款。从现行规则看，这几项条件实际上落在已有的抗辩通道里——金额小、不改变盈亏，对应第十条的重大性抗辩；风险提示充分、及时更正，对应信息披露本身是否合规。对科技企业而言，更实际的做法是：资本化、减值等关键判断留下依据，研发进展和风险及时、具体地披露。</w:t>
      </w:r>
    </w:p>
    <w:p>
      <w:pPr>
        <w:spacing w:before="160" w:after="80"/>
      </w:pPr>
      <w:r>
        <w:rPr>
          <w:rFonts w:ascii="Times New Roman" w:hAnsi="Times New Roman" w:eastAsia="仿宋"/>
          <w:b/>
          <w:sz w:val="26"/>
        </w:rPr>
        <w:t>八、常见问答</w:t>
      </w:r>
    </w:p>
    <w:p>
      <w:pPr>
        <w:spacing w:before="80" w:after="40"/>
      </w:pPr>
      <w:r>
        <w:rPr>
          <w:rFonts w:ascii="Times New Roman" w:hAnsi="Times New Roman" w:eastAsia="仿宋"/>
          <w:b/>
          <w:sz w:val="22"/>
        </w:rPr>
        <w:t>Q：没有被证监会处罚，投资者能直接起诉吗？</w:t>
      </w:r>
    </w:p>
    <w:p>
      <w:pPr>
        <w:spacing w:after="100"/>
      </w:pPr>
      <w:r>
        <w:rPr>
          <w:rFonts w:ascii="Times New Roman" w:hAnsi="Times New Roman" w:eastAsia="仿宋"/>
          <w:b w:val="0"/>
          <w:sz w:val="22"/>
        </w:rPr>
        <w:t>可以起诉。《若干规定》第二条第二款明确：「人民法院不得仅以虚假陈述未经监管部门行政处罚或者人民法院生效刑事判决的认定为由裁定不予受理。」没有处罚决定，原告要自己证明虚假陈述存在，举证难度会大一些。</w:t>
      </w:r>
    </w:p>
    <w:p>
      <w:pPr>
        <w:spacing w:before="80" w:after="40"/>
      </w:pPr>
      <w:r>
        <w:rPr>
          <w:rFonts w:ascii="Times New Roman" w:hAnsi="Times New Roman" w:eastAsia="仿宋"/>
          <w:b/>
          <w:sz w:val="22"/>
        </w:rPr>
        <w:t>Q：公司发了会计差错更正公告，是不是就等于承认了虚假陈述？</w:t>
      </w:r>
    </w:p>
    <w:p>
      <w:pPr>
        <w:spacing w:after="100"/>
      </w:pPr>
      <w:r>
        <w:rPr>
          <w:rFonts w:ascii="Times New Roman" w:hAnsi="Times New Roman" w:eastAsia="仿宋"/>
          <w:b w:val="0"/>
          <w:sz w:val="22"/>
        </w:rPr>
        <w:t>不能简单画等号。更正公告是重要证据，但是否构成虚假陈述，仍要看原披露内容是否属于第四条规定的情形、是否具有重大性。反过来，更正后盈亏性质发生变化的，重大性争议对公司较为不利。</w:t>
      </w:r>
    </w:p>
    <w:p>
      <w:pPr>
        <w:spacing w:before="80" w:after="40"/>
      </w:pPr>
      <w:r>
        <w:rPr>
          <w:rFonts w:ascii="Times New Roman" w:hAnsi="Times New Roman" w:eastAsia="仿宋"/>
          <w:b/>
          <w:sz w:val="22"/>
        </w:rPr>
        <w:t>Q：商誉减值没提足，公司说这是对未来的估计，能免责吗？</w:t>
      </w:r>
    </w:p>
    <w:p>
      <w:pPr>
        <w:spacing w:after="100"/>
      </w:pPr>
      <w:r>
        <w:rPr>
          <w:rFonts w:ascii="Times New Roman" w:hAnsi="Times New Roman" w:eastAsia="仿宋"/>
          <w:b w:val="0"/>
          <w:sz w:val="22"/>
        </w:rPr>
        <w:t>难度较大。司法解释对减值是否属于预测性信息没有明文；按丁宇翔文的观点（个人学术观点），减值反映的是资产负债表日的资产价值，一般不宜视为第六条所说的预测性信息。即使被视为预测，编制基础明显不合理也属于第六条的例外。</w:t>
      </w:r>
    </w:p>
    <w:p>
      <w:pPr>
        <w:spacing w:before="80" w:after="40"/>
      </w:pPr>
      <w:r>
        <w:rPr>
          <w:rFonts w:ascii="Times New Roman" w:hAnsi="Times New Roman" w:eastAsia="仿宋"/>
          <w:b/>
          <w:sz w:val="22"/>
        </w:rPr>
        <w:t>Q：公司几年连续造假，投资者在中间某一年买入，算不算在索赔范围内？</w:t>
      </w:r>
    </w:p>
    <w:p>
      <w:pPr>
        <w:spacing w:after="100"/>
      </w:pPr>
      <w:r>
        <w:rPr>
          <w:rFonts w:ascii="Times New Roman" w:hAnsi="Times New Roman" w:eastAsia="仿宋"/>
          <w:b w:val="0"/>
          <w:sz w:val="22"/>
        </w:rPr>
        <w:t>要看法院把这几年的行为认定为一个连续的虚假陈述，还是几个独立的虚假陈述，二者的实施日、揭露日不同，可以索赔的买入区间也不同。这是第一道关要解决的问题。</w:t>
      </w:r>
    </w:p>
    <w:p>
      <w:pPr>
        <w:spacing w:before="160" w:after="80"/>
      </w:pPr>
      <w:r>
        <w:rPr>
          <w:rFonts w:ascii="Times New Roman" w:hAnsi="Times New Roman" w:eastAsia="仿宋"/>
          <w:b/>
          <w:sz w:val="26"/>
        </w:rPr>
        <w:t>本篇主要依据</w:t>
      </w:r>
    </w:p>
    <w:p>
      <w:pPr>
        <w:spacing w:after="100"/>
      </w:pPr>
      <w:r>
        <w:rPr>
          <w:rFonts w:ascii="Times New Roman" w:hAnsi="Times New Roman" w:eastAsia="仿宋"/>
          <w:b w:val="0"/>
          <w:sz w:val="22"/>
        </w:rPr>
        <w:t>· 《最高人民法院关于审理证券市场虚假陈述侵权民事赔偿案件的若干规定》（法释〔2022〕2 号，2022 年 1 月 22 日施行）第二条、第四条、第六条、第七条、第八条、第十条、第十一条、第十二条、第三十一条、第三十五条</w:t>
      </w:r>
    </w:p>
    <w:p>
      <w:pPr>
        <w:spacing w:after="100"/>
      </w:pPr>
      <w:r>
        <w:rPr>
          <w:rFonts w:ascii="Times New Roman" w:hAnsi="Times New Roman" w:eastAsia="仿宋"/>
          <w:b w:val="0"/>
          <w:sz w:val="22"/>
        </w:rPr>
        <w:t>· 《全国法院审理债券纠纷案件座谈会纪要》（法〔2020〕185 号）第 27 条</w:t>
      </w:r>
    </w:p>
    <w:p>
      <w:pPr>
        <w:spacing w:after="100"/>
      </w:pPr>
      <w:r>
        <w:rPr>
          <w:rFonts w:ascii="Times New Roman" w:hAnsi="Times New Roman" w:eastAsia="仿宋"/>
          <w:b w:val="0"/>
          <w:sz w:val="22"/>
        </w:rPr>
        <w:t>· 最高人民法院、中国证券监督管理委员会《关于严格公正执法司法服务保障资本市场高质量发展的指导意见》（法发〔2025〕9 号，2025 年 5 月 15 日印发）第 6 条</w:t>
      </w:r>
    </w:p>
    <w:p>
      <w:pPr>
        <w:spacing w:after="100"/>
      </w:pPr>
      <w:r>
        <w:rPr>
          <w:rFonts w:ascii="Times New Roman" w:hAnsi="Times New Roman" w:eastAsia="仿宋"/>
          <w:b w:val="0"/>
          <w:sz w:val="22"/>
        </w:rPr>
        <w:t>· ① 丁宇翔：《证券市场财务性虚假陈述的典型形态及其侵权责任认定研究》，载《法律适用》2026 年第 10 期。文中所述该文观点均为转述，系作者个人学术观点。</w:t>
      </w:r>
    </w:p>
    <w:p>
      <w:pPr>
        <w:spacing w:after="100"/>
      </w:pPr>
      <w:r>
        <w:rPr>
          <w:rFonts w:ascii="Times New Roman" w:hAnsi="Times New Roman" w:eastAsia="仿宋"/>
          <w:b w:val="0"/>
          <w:color w:val="333333"/>
          <w:sz w:val="21"/>
        </w:rPr>
        <w:t>【说明】本文为法律问题的研究与学习材料，免费提供，仅供参考学习之用，不构成对任何具体事项的法律意见。所引条文以写作时检索的现行有效版本为准，法律法规及监管口径可能变动，内容可能更新不及时或不准确。具体事项请咨询您的律师。</w:t>
      </w:r>
    </w:p>
    <w:p>
      <w:pPr>
        <w:spacing w:before="360" w:after="120"/>
      </w:pPr>
      <w:r>
        <w:rPr>
          <w:rFonts w:ascii="Times New Roman" w:hAnsi="Times New Roman" w:eastAsia="仿宋"/>
          <w:b/>
          <w:sz w:val="30"/>
        </w:rPr>
        <w:t>第二篇　财务造假的账，法律上记在谁的名下。</w:t>
      </w:r>
    </w:p>
    <w:p>
      <w:pPr>
        <w:spacing w:before="160" w:after="80"/>
      </w:pPr>
      <w:r>
        <w:rPr>
          <w:rFonts w:ascii="Times New Roman" w:hAnsi="Times New Roman" w:eastAsia="仿宋"/>
          <w:b/>
          <w:sz w:val="26"/>
        </w:rPr>
        <w:t>一、一张表看责任结构</w:t>
      </w:r>
    </w:p>
    <w:p>
      <w:pPr>
        <w:spacing w:after="100"/>
      </w:pPr>
      <w:r>
        <w:rPr>
          <w:rFonts w:ascii="Times New Roman" w:hAnsi="Times New Roman" w:eastAsia="仿宋"/>
          <w:b w:val="0"/>
          <w:sz w:val="22"/>
        </w:rPr>
        <w:t>财务造假一旦被认定，投资者可以起诉的对象远不止上市公司本身。《证券法》和《若干规定》把可能承担责任的人分成几类，归责标准各不相同：</w:t>
      </w:r>
    </w:p>
    <w:tbl>
      <w:tblPr>
        <w:tblStyle w:val="TableGrid"/>
        <w:tblW w:type="auto" w:w="0"/>
        <w:tblLook w:firstColumn="1" w:firstRow="1" w:lastColumn="0" w:lastRow="0" w:noHBand="0" w:noVBand="1" w:val="04A0"/>
      </w:tblPr>
      <w:tblGrid>
        <w:gridCol w:w="2266"/>
        <w:gridCol w:w="2266"/>
        <w:gridCol w:w="2266"/>
        <w:gridCol w:w="2266"/>
      </w:tblGrid>
      <w:tr>
        <w:tc>
          <w:tcPr>
            <w:tcW w:type="dxa" w:w="2266"/>
          </w:tcPr>
          <w:p>
            <w:r>
              <w:rPr>
                <w:rFonts w:ascii="Times New Roman" w:hAnsi="Times New Roman" w:eastAsia="仿宋"/>
                <w:b/>
                <w:sz w:val="20"/>
              </w:rPr>
              <w:t>责任主体</w:t>
            </w:r>
          </w:p>
        </w:tc>
        <w:tc>
          <w:tcPr>
            <w:tcW w:type="dxa" w:w="2266"/>
          </w:tcPr>
          <w:p>
            <w:r>
              <w:rPr>
                <w:rFonts w:ascii="Times New Roman" w:hAnsi="Times New Roman" w:eastAsia="仿宋"/>
                <w:b/>
                <w:sz w:val="20"/>
              </w:rPr>
              <w:t>归责标准</w:t>
            </w:r>
          </w:p>
        </w:tc>
        <w:tc>
          <w:tcPr>
            <w:tcW w:type="dxa" w:w="2266"/>
          </w:tcPr>
          <w:p>
            <w:r>
              <w:rPr>
                <w:rFonts w:ascii="Times New Roman" w:hAnsi="Times New Roman" w:eastAsia="仿宋"/>
                <w:b/>
                <w:sz w:val="20"/>
              </w:rPr>
              <w:t>主要依据</w:t>
            </w:r>
          </w:p>
        </w:tc>
        <w:tc>
          <w:tcPr>
            <w:tcW w:type="dxa" w:w="2266"/>
          </w:tcPr>
          <w:p>
            <w:r>
              <w:rPr>
                <w:rFonts w:ascii="Times New Roman" w:hAnsi="Times New Roman" w:eastAsia="仿宋"/>
                <w:b/>
                <w:sz w:val="20"/>
              </w:rPr>
              <w:t>能否以「没有过错」免责</w:t>
            </w:r>
          </w:p>
        </w:tc>
      </w:tr>
      <w:tr>
        <w:tc>
          <w:tcPr>
            <w:tcW w:type="dxa" w:w="2266"/>
          </w:tcPr>
          <w:p>
            <w:r>
              <w:rPr>
                <w:rFonts w:ascii="Times New Roman" w:hAnsi="Times New Roman" w:eastAsia="仿宋"/>
                <w:b w:val="0"/>
                <w:sz w:val="20"/>
              </w:rPr>
              <w:t>发行人（上市公司、挂牌公司）</w:t>
            </w:r>
          </w:p>
        </w:tc>
        <w:tc>
          <w:tcPr>
            <w:tcW w:type="dxa" w:w="2266"/>
          </w:tcPr>
          <w:p>
            <w:r>
              <w:rPr>
                <w:rFonts w:ascii="Times New Roman" w:hAnsi="Times New Roman" w:eastAsia="仿宋"/>
                <w:b w:val="0"/>
                <w:sz w:val="20"/>
              </w:rPr>
              <w:t>无过错责任</w:t>
            </w:r>
          </w:p>
        </w:tc>
        <w:tc>
          <w:tcPr>
            <w:tcW w:type="dxa" w:w="2266"/>
          </w:tcPr>
          <w:p>
            <w:r>
              <w:rPr>
                <w:rFonts w:ascii="Times New Roman" w:hAnsi="Times New Roman" w:eastAsia="仿宋"/>
                <w:b w:val="0"/>
                <w:sz w:val="20"/>
              </w:rPr>
              <w:t>《证券法》第八十五条</w:t>
            </w:r>
          </w:p>
        </w:tc>
        <w:tc>
          <w:tcPr>
            <w:tcW w:type="dxa" w:w="2266"/>
          </w:tcPr>
          <w:p>
            <w:r>
              <w:rPr>
                <w:rFonts w:ascii="Times New Roman" w:hAnsi="Times New Roman" w:eastAsia="仿宋"/>
                <w:b w:val="0"/>
                <w:sz w:val="20"/>
              </w:rPr>
              <w:t>不能</w:t>
            </w:r>
          </w:p>
        </w:tc>
      </w:tr>
      <w:tr>
        <w:tc>
          <w:tcPr>
            <w:tcW w:type="dxa" w:w="2266"/>
          </w:tcPr>
          <w:p>
            <w:r>
              <w:rPr>
                <w:rFonts w:ascii="Times New Roman" w:hAnsi="Times New Roman" w:eastAsia="仿宋"/>
                <w:b w:val="0"/>
                <w:sz w:val="20"/>
              </w:rPr>
              <w:t>控股股东、实际控制人</w:t>
            </w:r>
          </w:p>
        </w:tc>
        <w:tc>
          <w:tcPr>
            <w:tcW w:type="dxa" w:w="2266"/>
          </w:tcPr>
          <w:p>
            <w:r>
              <w:rPr>
                <w:rFonts w:ascii="Times New Roman" w:hAnsi="Times New Roman" w:eastAsia="仿宋"/>
                <w:b w:val="0"/>
                <w:sz w:val="20"/>
              </w:rPr>
              <w:t>过错推定，与发行人连带</w:t>
            </w:r>
          </w:p>
        </w:tc>
        <w:tc>
          <w:tcPr>
            <w:tcW w:type="dxa" w:w="2266"/>
          </w:tcPr>
          <w:p>
            <w:r>
              <w:rPr>
                <w:rFonts w:ascii="Times New Roman" w:hAnsi="Times New Roman" w:eastAsia="仿宋"/>
                <w:b w:val="0"/>
                <w:sz w:val="20"/>
              </w:rPr>
              <w:t>《证券法》第八十五条；《若干规定》第二十条</w:t>
            </w:r>
          </w:p>
        </w:tc>
        <w:tc>
          <w:tcPr>
            <w:tcW w:type="dxa" w:w="2266"/>
          </w:tcPr>
          <w:p>
            <w:r>
              <w:rPr>
                <w:rFonts w:ascii="Times New Roman" w:hAnsi="Times New Roman" w:eastAsia="仿宋"/>
                <w:b w:val="0"/>
                <w:sz w:val="20"/>
              </w:rPr>
              <w:t>能，但要自己举证</w:t>
            </w:r>
          </w:p>
        </w:tc>
      </w:tr>
      <w:tr>
        <w:tc>
          <w:tcPr>
            <w:tcW w:type="dxa" w:w="2266"/>
          </w:tcPr>
          <w:p>
            <w:r>
              <w:rPr>
                <w:rFonts w:ascii="Times New Roman" w:hAnsi="Times New Roman" w:eastAsia="仿宋"/>
                <w:b w:val="0"/>
                <w:sz w:val="20"/>
              </w:rPr>
              <w:t>董事、监事、高级管理人员</w:t>
            </w:r>
          </w:p>
        </w:tc>
        <w:tc>
          <w:tcPr>
            <w:tcW w:type="dxa" w:w="2266"/>
          </w:tcPr>
          <w:p>
            <w:r>
              <w:rPr>
                <w:rFonts w:ascii="Times New Roman" w:hAnsi="Times New Roman" w:eastAsia="仿宋"/>
                <w:b w:val="0"/>
                <w:sz w:val="20"/>
              </w:rPr>
              <w:t>过错推定，与发行人连带</w:t>
            </w:r>
          </w:p>
        </w:tc>
        <w:tc>
          <w:tcPr>
            <w:tcW w:type="dxa" w:w="2266"/>
          </w:tcPr>
          <w:p>
            <w:r>
              <w:rPr>
                <w:rFonts w:ascii="Times New Roman" w:hAnsi="Times New Roman" w:eastAsia="仿宋"/>
                <w:b w:val="0"/>
                <w:sz w:val="20"/>
              </w:rPr>
              <w:t>《证券法》第八十五条；《若干规定》第十四条至第十六条</w:t>
            </w:r>
          </w:p>
        </w:tc>
        <w:tc>
          <w:tcPr>
            <w:tcW w:type="dxa" w:w="2266"/>
          </w:tcPr>
          <w:p>
            <w:r>
              <w:rPr>
                <w:rFonts w:ascii="Times New Roman" w:hAnsi="Times New Roman" w:eastAsia="仿宋"/>
                <w:b w:val="0"/>
                <w:sz w:val="20"/>
              </w:rPr>
              <w:t>能，但要自己举证</w:t>
            </w:r>
          </w:p>
        </w:tc>
      </w:tr>
      <w:tr>
        <w:tc>
          <w:tcPr>
            <w:tcW w:type="dxa" w:w="2266"/>
          </w:tcPr>
          <w:p>
            <w:r>
              <w:rPr>
                <w:rFonts w:ascii="Times New Roman" w:hAnsi="Times New Roman" w:eastAsia="仿宋"/>
                <w:b w:val="0"/>
                <w:sz w:val="20"/>
              </w:rPr>
              <w:t>保荐人、承销商</w:t>
            </w:r>
          </w:p>
        </w:tc>
        <w:tc>
          <w:tcPr>
            <w:tcW w:type="dxa" w:w="2266"/>
          </w:tcPr>
          <w:p>
            <w:r>
              <w:rPr>
                <w:rFonts w:ascii="Times New Roman" w:hAnsi="Times New Roman" w:eastAsia="仿宋"/>
                <w:b w:val="0"/>
                <w:sz w:val="20"/>
              </w:rPr>
              <w:t>过错推定，与发行人连带</w:t>
            </w:r>
          </w:p>
        </w:tc>
        <w:tc>
          <w:tcPr>
            <w:tcW w:type="dxa" w:w="2266"/>
          </w:tcPr>
          <w:p>
            <w:r>
              <w:rPr>
                <w:rFonts w:ascii="Times New Roman" w:hAnsi="Times New Roman" w:eastAsia="仿宋"/>
                <w:b w:val="0"/>
                <w:sz w:val="20"/>
              </w:rPr>
              <w:t>《证券法》第八十五条；《若干规定》第十七条</w:t>
            </w:r>
          </w:p>
        </w:tc>
        <w:tc>
          <w:tcPr>
            <w:tcW w:type="dxa" w:w="2266"/>
          </w:tcPr>
          <w:p>
            <w:r>
              <w:rPr>
                <w:rFonts w:ascii="Times New Roman" w:hAnsi="Times New Roman" w:eastAsia="仿宋"/>
                <w:b w:val="0"/>
                <w:sz w:val="20"/>
              </w:rPr>
              <w:t>能，见第三篇</w:t>
            </w:r>
          </w:p>
        </w:tc>
      </w:tr>
      <w:tr>
        <w:tc>
          <w:tcPr>
            <w:tcW w:type="dxa" w:w="2266"/>
          </w:tcPr>
          <w:p>
            <w:r>
              <w:rPr>
                <w:rFonts w:ascii="Times New Roman" w:hAnsi="Times New Roman" w:eastAsia="仿宋"/>
                <w:b w:val="0"/>
                <w:sz w:val="20"/>
              </w:rPr>
              <w:t>会计师事务所、律师事务所等证券服务机构</w:t>
            </w:r>
          </w:p>
        </w:tc>
        <w:tc>
          <w:tcPr>
            <w:tcW w:type="dxa" w:w="2266"/>
          </w:tcPr>
          <w:p>
            <w:r>
              <w:rPr>
                <w:rFonts w:ascii="Times New Roman" w:hAnsi="Times New Roman" w:eastAsia="仿宋"/>
                <w:b w:val="0"/>
                <w:sz w:val="20"/>
              </w:rPr>
              <w:t>过错推定，与委托人连带</w:t>
            </w:r>
          </w:p>
        </w:tc>
        <w:tc>
          <w:tcPr>
            <w:tcW w:type="dxa" w:w="2266"/>
          </w:tcPr>
          <w:p>
            <w:r>
              <w:rPr>
                <w:rFonts w:ascii="Times New Roman" w:hAnsi="Times New Roman" w:eastAsia="仿宋"/>
                <w:b w:val="0"/>
                <w:sz w:val="20"/>
              </w:rPr>
              <w:t>《证券法》第一百六十三条；《若干规定》第十八条、第十九条</w:t>
            </w:r>
          </w:p>
        </w:tc>
        <w:tc>
          <w:tcPr>
            <w:tcW w:type="dxa" w:w="2266"/>
          </w:tcPr>
          <w:p>
            <w:r>
              <w:rPr>
                <w:rFonts w:ascii="Times New Roman" w:hAnsi="Times New Roman" w:eastAsia="仿宋"/>
                <w:b w:val="0"/>
                <w:sz w:val="20"/>
              </w:rPr>
              <w:t>能，见第三篇</w:t>
            </w:r>
          </w:p>
        </w:tc>
      </w:tr>
      <w:tr>
        <w:tc>
          <w:tcPr>
            <w:tcW w:type="dxa" w:w="2266"/>
          </w:tcPr>
          <w:p>
            <w:r>
              <w:rPr>
                <w:rFonts w:ascii="Times New Roman" w:hAnsi="Times New Roman" w:eastAsia="仿宋"/>
                <w:b w:val="0"/>
                <w:sz w:val="20"/>
              </w:rPr>
              <w:t>重大资产重组的交易对方</w:t>
            </w:r>
          </w:p>
        </w:tc>
        <w:tc>
          <w:tcPr>
            <w:tcW w:type="dxa" w:w="2266"/>
          </w:tcPr>
          <w:p>
            <w:r>
              <w:rPr>
                <w:rFonts w:ascii="Times New Roman" w:hAnsi="Times New Roman" w:eastAsia="仿宋"/>
                <w:b w:val="0"/>
                <w:sz w:val="20"/>
              </w:rPr>
              <w:t>提供的信息不真实、准确、完整</w:t>
            </w:r>
          </w:p>
        </w:tc>
        <w:tc>
          <w:tcPr>
            <w:tcW w:type="dxa" w:w="2266"/>
          </w:tcPr>
          <w:p>
            <w:r>
              <w:rPr>
                <w:rFonts w:ascii="Times New Roman" w:hAnsi="Times New Roman" w:eastAsia="仿宋"/>
                <w:b w:val="0"/>
                <w:sz w:val="20"/>
              </w:rPr>
              <w:t>《若干规定》第二十一条</w:t>
            </w:r>
          </w:p>
        </w:tc>
        <w:tc>
          <w:tcPr>
            <w:tcW w:type="dxa" w:w="2266"/>
          </w:tcPr>
          <w:p>
            <w:r>
              <w:rPr>
                <w:rFonts w:ascii="Times New Roman" w:hAnsi="Times New Roman" w:eastAsia="仿宋"/>
                <w:b w:val="0"/>
                <w:sz w:val="20"/>
              </w:rPr>
              <w:t>—</w:t>
            </w:r>
          </w:p>
        </w:tc>
      </w:tr>
      <w:tr>
        <w:tc>
          <w:tcPr>
            <w:tcW w:type="dxa" w:w="2266"/>
          </w:tcPr>
          <w:p>
            <w:r>
              <w:rPr>
                <w:rFonts w:ascii="Times New Roman" w:hAnsi="Times New Roman" w:eastAsia="仿宋"/>
                <w:b w:val="0"/>
                <w:sz w:val="20"/>
              </w:rPr>
              <w:t>配合造假的供应商、客户、金融机构</w:t>
            </w:r>
          </w:p>
        </w:tc>
        <w:tc>
          <w:tcPr>
            <w:tcW w:type="dxa" w:w="2266"/>
          </w:tcPr>
          <w:p>
            <w:r>
              <w:rPr>
                <w:rFonts w:ascii="Times New Roman" w:hAnsi="Times New Roman" w:eastAsia="仿宋"/>
                <w:b w:val="0"/>
                <w:sz w:val="20"/>
              </w:rPr>
              <w:t>原告须证明其「明知」</w:t>
            </w:r>
          </w:p>
        </w:tc>
        <w:tc>
          <w:tcPr>
            <w:tcW w:type="dxa" w:w="2266"/>
          </w:tcPr>
          <w:p>
            <w:r>
              <w:rPr>
                <w:rFonts w:ascii="Times New Roman" w:hAnsi="Times New Roman" w:eastAsia="仿宋"/>
                <w:b w:val="0"/>
                <w:sz w:val="20"/>
              </w:rPr>
              <w:t>《若干规定》第二十二条</w:t>
            </w:r>
          </w:p>
        </w:tc>
        <w:tc>
          <w:tcPr>
            <w:tcW w:type="dxa" w:w="2266"/>
          </w:tcPr>
          <w:p>
            <w:r>
              <w:rPr>
                <w:rFonts w:ascii="Times New Roman" w:hAnsi="Times New Roman" w:eastAsia="仿宋"/>
                <w:b w:val="0"/>
                <w:sz w:val="20"/>
              </w:rPr>
              <w:t>由原告举证</w:t>
            </w:r>
          </w:p>
        </w:tc>
      </w:tr>
    </w:tbl>
    <w:p/>
    <w:p>
      <w:pPr>
        <w:spacing w:after="100"/>
      </w:pPr>
      <w:r>
        <w:rPr>
          <w:rFonts w:ascii="Times New Roman" w:hAnsi="Times New Roman" w:eastAsia="仿宋"/>
          <w:b w:val="0"/>
          <w:sz w:val="22"/>
        </w:rPr>
        <w:t>第一篇讲的是「造假在不在」，本篇讲「账记在谁名下」。中介机构的问题较多，单独放在第三篇。</w:t>
      </w:r>
    </w:p>
    <w:p>
      <w:pPr>
        <w:spacing w:before="160" w:after="80"/>
      </w:pPr>
      <w:r>
        <w:rPr>
          <w:rFonts w:ascii="Times New Roman" w:hAnsi="Times New Roman" w:eastAsia="仿宋"/>
          <w:b/>
          <w:sz w:val="26"/>
        </w:rPr>
        <w:t>二、发行人：没有「不知情」这个抗辩</w:t>
      </w:r>
    </w:p>
    <w:p>
      <w:pPr>
        <w:spacing w:after="100"/>
      </w:pPr>
      <w:r>
        <w:rPr>
          <w:rFonts w:ascii="Times New Roman" w:hAnsi="Times New Roman" w:eastAsia="仿宋"/>
          <w:b w:val="0"/>
          <w:color w:val="333333"/>
          <w:sz w:val="21"/>
        </w:rPr>
        <w:t>【要点】信息披露义务人未按照规定披露信息，或者公告的证券发行文件、定期报告、临时报告及其他信息披露资料存在虚假记载、误导性陈述或者重大遗漏，致使投资者在证券交易中遭受损失的，信息披露义务人应当承担赔偿责任；发行人的控股股东、实际控制人、董事、监事、高级管理人员和其他直接责任人员以及保荐人、承销的证券公司及其直接责任人员，应当与发行人承担连带赔偿责任，但是能够证明自己没有过错的除外。——《证券法》第八十五条</w:t>
      </w:r>
    </w:p>
    <w:p>
      <w:pPr>
        <w:spacing w:after="100"/>
      </w:pPr>
      <w:r>
        <w:rPr>
          <w:rFonts w:ascii="Times New Roman" w:hAnsi="Times New Roman" w:eastAsia="仿宋"/>
          <w:b w:val="0"/>
          <w:sz w:val="22"/>
        </w:rPr>
        <w:t>「但书」只跟在后半句的连带责任人后面。对发行人本身，条文没有给「没有过错」的出口。即使造假是控股股东背着公司其他人做的，对投资者而言，发行人仍然要对投资者承担责任；发行人赔付以后，再向组织造假的人追偿（见下文第三部分）。</w:t>
      </w:r>
    </w:p>
    <w:p>
      <w:pPr>
        <w:spacing w:before="160" w:after="80"/>
      </w:pPr>
      <w:r>
        <w:rPr>
          <w:rFonts w:ascii="Times New Roman" w:hAnsi="Times New Roman" w:eastAsia="仿宋"/>
          <w:b/>
          <w:sz w:val="26"/>
        </w:rPr>
        <w:t>三、控股股东、实际控制人：「组织、指使」者可以被直接起诉</w:t>
      </w:r>
    </w:p>
    <w:p>
      <w:pPr>
        <w:spacing w:after="100"/>
      </w:pPr>
      <w:r>
        <w:rPr>
          <w:rFonts w:ascii="Times New Roman" w:hAnsi="Times New Roman" w:eastAsia="仿宋"/>
          <w:b w:val="0"/>
          <w:sz w:val="22"/>
        </w:rPr>
        <w:t>丁宇翔文分析，控股股东、实际控制人在动机和条件上都容易成为财务造假的组织者：上市前有达到发行条件的压力，上市后有维持股价、兑现业绩对赌的压力，还可能借此占用上市公司的资金。《若干规定》为此专门写了一条：</w:t>
      </w:r>
    </w:p>
    <w:p>
      <w:pPr>
        <w:spacing w:after="100"/>
      </w:pPr>
      <w:r>
        <w:rPr>
          <w:rFonts w:ascii="Times New Roman" w:hAnsi="Times New Roman" w:eastAsia="仿宋"/>
          <w:b w:val="0"/>
          <w:color w:val="333333"/>
          <w:sz w:val="21"/>
        </w:rPr>
        <w:t>【要点】发行人的控股股东、实际控制人组织、指使发行人实施虚假陈述，致使原告在证券交易中遭受损失的，原告起诉请求直接判令该控股股东、实际控制人依照本规定赔偿损失的，人民法院应当予以支持。</w:t>
        <w:br/>
        <w:t>控股股东、实际控制人组织、指使发行人实施虚假陈述，发行人在承担赔偿责任后要求该控股股东、实际控制人赔偿实际支付的赔偿款、合理的律师费、诉讼费用等损失的，人民法院应当予以支持。——《若干规定》第二十条</w:t>
      </w:r>
    </w:p>
    <w:p>
      <w:pPr>
        <w:spacing w:after="100"/>
      </w:pPr>
      <w:r>
        <w:rPr>
          <w:rFonts w:ascii="Times New Roman" w:hAnsi="Times New Roman" w:eastAsia="仿宋"/>
          <w:b w:val="0"/>
          <w:sz w:val="22"/>
        </w:rPr>
        <w:t>第二款的意义在于追偿的范围。一般的连带责任人之间，按各自责任大小分担、超出自己份额的部分才能追偿（《民法典》第一百七十八条）；而第二十条第二款的追偿不受份额限制，发行人可以要求组织者赔偿实际支付的赔偿款以及合理的律师费、诉讼费用等损失，第二十三条第一款对此作了明确的例外规定。</w:t>
      </w:r>
    </w:p>
    <w:p>
      <w:pPr>
        <w:spacing w:after="100"/>
      </w:pPr>
      <w:r>
        <w:rPr>
          <w:rFonts w:ascii="Times New Roman" w:hAnsi="Times New Roman" w:eastAsia="仿宋"/>
          <w:b w:val="0"/>
          <w:sz w:val="22"/>
        </w:rPr>
        <w:t>2025 年 5 月，最高人民法院、中国证监会联合印发的《关于严格公正执法司法服务保障资本市场高质量发展的指导意见》（法发〔2025〕9 号）重申「追首恶」「打帮凶」并重，并写明：</w:t>
      </w:r>
    </w:p>
    <w:p>
      <w:pPr>
        <w:spacing w:after="100"/>
      </w:pPr>
      <w:r>
        <w:rPr>
          <w:rFonts w:ascii="Times New Roman" w:hAnsi="Times New Roman" w:eastAsia="仿宋"/>
          <w:b w:val="0"/>
          <w:color w:val="333333"/>
          <w:sz w:val="21"/>
        </w:rPr>
        <w:t>【要点】应当承担责任的发行人被民事追责后，向负有责任的控股股东、实际控制人、董事、监事、高级管理人员等责任主体追偿的，人民法院依法予以支持。——法发〔2025〕9 号第 5 条（节录）</w:t>
      </w:r>
    </w:p>
    <w:p>
      <w:pPr>
        <w:spacing w:after="100"/>
      </w:pPr>
      <w:r>
        <w:rPr>
          <w:rFonts w:ascii="Times New Roman" w:hAnsi="Times New Roman" w:eastAsia="仿宋"/>
          <w:b w:val="0"/>
          <w:sz w:val="22"/>
        </w:rPr>
        <w:t>追偿对象比《若干规定》第二十条第二款更宽，包括了负有责任的董事、监事、高级管理人员。</w:t>
      </w:r>
    </w:p>
    <w:p>
      <w:pPr>
        <w:spacing w:after="100"/>
      </w:pPr>
      <w:r>
        <w:rPr>
          <w:rFonts w:ascii="Times New Roman" w:hAnsi="Times New Roman" w:eastAsia="仿宋"/>
          <w:b w:val="0"/>
          <w:sz w:val="22"/>
        </w:rPr>
        <w:t>2023 年修订的《公司法》在公司法层面也有呼应：</w:t>
      </w:r>
    </w:p>
    <w:p>
      <w:pPr>
        <w:spacing w:after="100"/>
      </w:pPr>
      <w:r>
        <w:rPr>
          <w:rFonts w:ascii="Times New Roman" w:hAnsi="Times New Roman" w:eastAsia="仿宋"/>
          <w:b w:val="0"/>
          <w:color w:val="333333"/>
          <w:sz w:val="21"/>
        </w:rPr>
        <w:t>【要点】公司的控股股东、实际控制人指示董事、高级管理人员从事损害公司或者股东利益的行为的，与该董事、高级管理人员承担连带责任。——《公司法》第一百九十二条</w:t>
      </w:r>
    </w:p>
    <w:p>
      <w:pPr>
        <w:spacing w:after="100"/>
      </w:pPr>
      <w:r>
        <w:rPr>
          <w:rFonts w:ascii="Times New Roman" w:hAnsi="Times New Roman" w:eastAsia="仿宋"/>
          <w:b w:val="0"/>
          <w:sz w:val="22"/>
        </w:rPr>
        <w:t>非经营性资金占用的三种起诉方式。资金占用未披露，是控股股东主导型虚假陈述的典型。丁宇翔文按原告的起诉方式分了三种情形：</w:t>
      </w:r>
    </w:p>
    <w:p>
      <w:pPr>
        <w:spacing w:after="100"/>
      </w:pPr>
      <w:r>
        <w:rPr>
          <w:rFonts w:ascii="Times New Roman" w:hAnsi="Times New Roman" w:eastAsia="仿宋"/>
          <w:b w:val="0"/>
          <w:sz w:val="22"/>
        </w:rPr>
        <w:t>· 同时起诉发行人和控股股东、实际控制人：发行人承担无过错责任，控股股东、实际控制人承担连带责任，除非能证明自己没有过错；</w:t>
      </w:r>
    </w:p>
    <w:p>
      <w:pPr>
        <w:spacing w:after="100"/>
      </w:pPr>
      <w:r>
        <w:rPr>
          <w:rFonts w:ascii="Times New Roman" w:hAnsi="Times New Roman" w:eastAsia="仿宋"/>
          <w:b w:val="0"/>
          <w:sz w:val="22"/>
        </w:rPr>
        <w:t>· 没有起诉控股股东、实际控制人（只起诉发行人，或者同时起诉部分高级管理人员）：发行人承担赔偿责任后，可以另行向控股股东、实际控制人追偿；被起诉的高级管理人员能证明自己没有过错的，不承担责任；</w:t>
      </w:r>
    </w:p>
    <w:p>
      <w:pPr>
        <w:spacing w:after="100"/>
      </w:pPr>
      <w:r>
        <w:rPr>
          <w:rFonts w:ascii="Times New Roman" w:hAnsi="Times New Roman" w:eastAsia="仿宋"/>
          <w:b w:val="0"/>
          <w:sz w:val="22"/>
        </w:rPr>
        <w:t>· 只起诉控股股东、实际控制人：该文认为法院可以追加发行人为第三人以查明事实；经审理确认资金占用系控股股东、实际控制人一手组织，发行人经办人员并不知情的，可以只判令组织者赔偿、不再判令发行人担责，以免发行人再受一次损害。</w:t>
      </w:r>
    </w:p>
    <w:p>
      <w:pPr>
        <w:spacing w:after="100"/>
      </w:pPr>
      <w:r>
        <w:rPr>
          <w:rFonts w:ascii="Times New Roman" w:hAnsi="Times New Roman" w:eastAsia="仿宋"/>
          <w:b w:val="0"/>
          <w:sz w:val="22"/>
        </w:rPr>
        <w:t>第三种情形中「不再判令发行人担责」是该文作者的主张。第二十条第一款支持原告直接起诉组织者，但没有说发行人因此可以免责；实践中会不会这样处理，还要看后续裁判。</w:t>
      </w:r>
    </w:p>
    <w:p>
      <w:pPr>
        <w:spacing w:before="160" w:after="80"/>
      </w:pPr>
      <w:r>
        <w:rPr>
          <w:rFonts w:ascii="Times New Roman" w:hAnsi="Times New Roman" w:eastAsia="仿宋"/>
          <w:b/>
          <w:sz w:val="26"/>
        </w:rPr>
        <w:t>四、董事、监事、高级管理人员：按角色分档承担</w:t>
      </w:r>
    </w:p>
    <w:p>
      <w:pPr>
        <w:spacing w:after="100"/>
      </w:pPr>
      <w:r>
        <w:rPr>
          <w:rFonts w:ascii="Times New Roman" w:hAnsi="Times New Roman" w:eastAsia="仿宋"/>
          <w:b w:val="0"/>
          <w:sz w:val="22"/>
        </w:rPr>
        <w:t>先看「过错」的含义。《若干规定》第十三条把它限定为两种情形：</w:t>
      </w:r>
    </w:p>
    <w:p>
      <w:pPr>
        <w:spacing w:after="100"/>
      </w:pPr>
      <w:r>
        <w:rPr>
          <w:rFonts w:ascii="Times New Roman" w:hAnsi="Times New Roman" w:eastAsia="仿宋"/>
          <w:b w:val="0"/>
          <w:color w:val="333333"/>
          <w:sz w:val="21"/>
        </w:rPr>
        <w:t>【要点】（一）行为人故意制作、出具存在虚假陈述的信息披露文件，或者明知信息披露文件存在虚假陈述而不予指明、予以发布；（二）行为人严重违反注意义务，对信息披露文件中虚假陈述的形成或者发布存在过失。——《若干规定》第十三条</w:t>
      </w:r>
    </w:p>
    <w:p>
      <w:pPr>
        <w:spacing w:after="100"/>
      </w:pPr>
      <w:r>
        <w:rPr>
          <w:rFonts w:ascii="Times New Roman" w:hAnsi="Times New Roman" w:eastAsia="仿宋"/>
          <w:b w:val="0"/>
          <w:sz w:val="22"/>
        </w:rPr>
        <w:t>也就是说，一般的疏忽不足以构成这里的过错。但举证责任在董监高一方，而且有几种理由已经被明文排除：</w:t>
      </w:r>
    </w:p>
    <w:p>
      <w:pPr>
        <w:spacing w:after="100"/>
      </w:pPr>
      <w:r>
        <w:rPr>
          <w:rFonts w:ascii="Times New Roman" w:hAnsi="Times New Roman" w:eastAsia="仿宋"/>
          <w:b w:val="0"/>
          <w:color w:val="333333"/>
          <w:sz w:val="21"/>
        </w:rPr>
        <w:t>【要点】前款所列人员不能提供勤勉尽责的相应证据，仅以其不从事日常经营管理、无相关职业背景和专业知识、相信发行人或者管理层提供的资料、相信证券服务机构出具的专业意见等理由主张其没有过错的，人民法院不予支持。——《若干规定》第十四条第二款</w:t>
      </w:r>
    </w:p>
    <w:p>
      <w:pPr>
        <w:spacing w:after="100"/>
      </w:pPr>
      <w:r>
        <w:rPr>
          <w:rFonts w:ascii="Times New Roman" w:hAnsi="Times New Roman" w:eastAsia="仿宋"/>
          <w:b w:val="0"/>
          <w:sz w:val="22"/>
        </w:rPr>
        <w:t>能用的抗辩有哪些？</w:t>
      </w:r>
    </w:p>
    <w:p>
      <w:pPr>
        <w:spacing w:after="100"/>
      </w:pPr>
      <w:r>
        <w:rPr>
          <w:rFonts w:ascii="Times New Roman" w:hAnsi="Times New Roman" w:eastAsia="仿宋"/>
          <w:b w:val="0"/>
          <w:sz w:val="22"/>
        </w:rPr>
        <w:t>· 书面异议。依照《证券法》第八十二条第四款以书面方式发表附具体理由的意见并依法披露的，法院可以认定其主观上没有过错——但在审议、审核信息披露文件时投了赞成票的除外（《若干规定》第十五条）。一边投赞成票、一边保留意见的，不能依第十五条主张没有过错。</w:t>
      </w:r>
    </w:p>
    <w:p>
      <w:pPr>
        <w:spacing w:after="100"/>
      </w:pPr>
      <w:r>
        <w:rPr>
          <w:rFonts w:ascii="Times New Roman" w:hAnsi="Times New Roman" w:eastAsia="仿宋"/>
          <w:b w:val="0"/>
          <w:sz w:val="22"/>
        </w:rPr>
        <w:t>· 独立董事的五种情形。例如在签署文件之前，对不属于自身专业领域的具体问题借助会计、法律等专门职业的帮助仍未发现问题；在揭露日或更正日之前发现虚假陈述后，及时提出异议并监督整改，或者向交易场所、监管部门书面报告；在独立意见中发表保留、反对或者无法表示意见并说明理由（同样以没有投赞成票为前提）；因发行人阻碍无法判断并及时书面报告；以及其他能证明勤勉尽责的情形（第十六条）。外部监事和职工监事参照适用。</w:t>
      </w:r>
    </w:p>
    <w:p>
      <w:pPr>
        <w:spacing w:after="100"/>
      </w:pPr>
      <w:r>
        <w:rPr>
          <w:rFonts w:ascii="Times New Roman" w:hAnsi="Times New Roman" w:eastAsia="仿宋"/>
          <w:b w:val="0"/>
          <w:sz w:val="22"/>
        </w:rPr>
        <w:t>责任大小怎样区分。最高人民法院 2022 年 9 月对全国人大代表建议的答复中，介绍了康美药业特别代表人诉讼案（（2020）粤 01 民初 2171 号）的划分方法：法院结合是否参与造假、报告签署情况、被诉主体身份等因素，判决实际参与造假的董监高在 100% 范围内承担连带责任，未参与造假但签署了虚假陈述报告的多名董监高分别在 5% 至 20% 范围内承担连带责任。据公开报道，该案五名独立董事分别在 10% 和 5% 范围内承担连带责任，其中承担 5% 的两人只在一份半年度报告上签了字。</w:t>
      </w:r>
    </w:p>
    <w:p>
      <w:pPr>
        <w:spacing w:after="100"/>
      </w:pPr>
      <w:r>
        <w:rPr>
          <w:rFonts w:ascii="Times New Roman" w:hAnsi="Times New Roman" w:eastAsia="仿宋"/>
          <w:b w:val="0"/>
          <w:sz w:val="22"/>
        </w:rPr>
        <w:t>从该案看：参与程度决定档次，签字范围影响比例；「不知情」本身不是免责理由，留有核验痕迹和书面异议，才可能成为抗辩的基础。</w:t>
      </w:r>
    </w:p>
    <w:p>
      <w:pPr>
        <w:spacing w:before="160" w:after="80"/>
      </w:pPr>
      <w:r>
        <w:rPr>
          <w:rFonts w:ascii="Times New Roman" w:hAnsi="Times New Roman" w:eastAsia="仿宋"/>
          <w:b/>
          <w:sz w:val="26"/>
        </w:rPr>
        <w:t>五、配合造假的供应商、客户和金融机构</w:t>
      </w:r>
    </w:p>
    <w:p>
      <w:pPr>
        <w:spacing w:after="100"/>
      </w:pPr>
      <w:r>
        <w:rPr>
          <w:rFonts w:ascii="Times New Roman" w:hAnsi="Times New Roman" w:eastAsia="仿宋"/>
          <w:b w:val="0"/>
          <w:sz w:val="22"/>
        </w:rPr>
        <w:t>虚构收入要有「客户」签合同，虚增存款要有「银行」出证明。2022 年的《若干规定》为这些人专门写了一条：</w:t>
      </w:r>
    </w:p>
    <w:p>
      <w:pPr>
        <w:spacing w:after="100"/>
      </w:pPr>
      <w:r>
        <w:rPr>
          <w:rFonts w:ascii="Times New Roman" w:hAnsi="Times New Roman" w:eastAsia="仿宋"/>
          <w:b w:val="0"/>
          <w:color w:val="333333"/>
          <w:sz w:val="21"/>
        </w:rPr>
        <w:t>【要点】有证据证明发行人的供应商、客户，以及为发行人提供服务的金融机构等明知发行人实施财务造假活动，仍然为其提供相关交易合同、发票、存款证明等予以配合，或者故意隐瞒重要事实致使发行人的信息披露文件存在虚假陈述，原告起诉请求判令其与发行人等责任主体赔偿由此导致的损失的，人民法院应当予以支持。——《若干规定》第二十二条</w:t>
      </w:r>
    </w:p>
    <w:p>
      <w:pPr>
        <w:spacing w:after="100"/>
      </w:pPr>
      <w:r>
        <w:rPr>
          <w:rFonts w:ascii="Times New Roman" w:hAnsi="Times New Roman" w:eastAsia="仿宋"/>
          <w:b w:val="0"/>
          <w:sz w:val="22"/>
        </w:rPr>
        <w:t>这一条有三点值得注意。</w:t>
      </w:r>
    </w:p>
    <w:p>
      <w:pPr>
        <w:spacing w:after="100"/>
      </w:pPr>
      <w:r>
        <w:rPr>
          <w:rFonts w:ascii="Times New Roman" w:hAnsi="Times New Roman" w:eastAsia="仿宋"/>
          <w:b w:val="0"/>
          <w:sz w:val="22"/>
        </w:rPr>
        <w:t>第一，「明知」要由原告证明。第二十二条以「有证据证明」开头，不同于董监高、中介机构的过错推定。供应商、客户只是正常交易、并不知道对方在造假的，不在此列。</w:t>
      </w:r>
    </w:p>
    <w:p>
      <w:pPr>
        <w:spacing w:after="100"/>
      </w:pPr>
      <w:r>
        <w:rPr>
          <w:rFonts w:ascii="Times New Roman" w:hAnsi="Times New Roman" w:eastAsia="仿宋"/>
          <w:b w:val="0"/>
          <w:sz w:val="22"/>
        </w:rPr>
        <w:t>第二，条文没有写明是连带责任还是按份责任。丁宇翔文从侵权法角度分析：明知而提供合同、发票，属于帮助他人实施侵权；《民法典》第一千一百六十九条第一款规定，教唆、帮助他人实施侵权行为的，应当与行为人承担连带责任。已有法院采用「比例连带」：据《中国经营报》2025 年 10 月报道，上海市高级人民法院 2025 年 9 月对一起已退市公司的案件作出二审判决，维持一审，时任董事、总经理和三家配合虚假交易的公司，分别在公司赔偿义务的 50%、20%、10%、10% 范围内承担连带责任；报道称这是国内首例判决配合上市公司财务造假的供应商、客户承担民事赔偿责任的案件。前述法发〔2025〕9 号第 5 条，也把「教唆、帮助财务信息披露造假的供应商等第三方」列为依法严格追究的对象。</w:t>
      </w:r>
    </w:p>
    <w:p>
      <w:pPr>
        <w:spacing w:after="100"/>
      </w:pPr>
      <w:r>
        <w:rPr>
          <w:rFonts w:ascii="Times New Roman" w:hAnsi="Times New Roman" w:eastAsia="仿宋"/>
          <w:b w:val="0"/>
          <w:sz w:val="22"/>
        </w:rPr>
        <w:t>第三，比例怎么定，还有讨论空间。丁宇翔文主张按「参与了多少」来定：例如造假总额 1 亿元，第三方只在其中 2000 万元的交易上配合出具了虚假说明，原则上在 20% 范围内承担比例连带责任；该文还认为这一比例是终局责任，第三方承担后不应再向发行人追偿。后一点实质上是把配合者在内部分担中的份额就定为其被判的比例；这与《若干规定》第二十三条第一款「按照民法典第一百七十八条的规定处理」、按责任大小确定份额的一般规则是否契合，尚待裁判确认。</w:t>
      </w:r>
    </w:p>
    <w:p>
      <w:pPr>
        <w:spacing w:after="100"/>
      </w:pPr>
      <w:r>
        <w:rPr>
          <w:rFonts w:ascii="Times New Roman" w:hAnsi="Times New Roman" w:eastAsia="仿宋"/>
          <w:b w:val="0"/>
          <w:sz w:val="22"/>
        </w:rPr>
        <w:t>该文还讨论了一个延伸问题：发行人合并报表范围内的子公司本身就是发行人的供应商或客户时，能不能作为第二十二条的「帮助造假者」？该文作者认为可以，理由是条文文义没有把子公司排除在外，且排除会形成治理盲区；但全资子公司实质上是发行人的「内部人」，可以考虑由发行人统一承担。这同样是该文作者的观点，目前未检索到相应的公开裁判。</w:t>
      </w:r>
    </w:p>
    <w:p>
      <w:pPr>
        <w:spacing w:after="100"/>
      </w:pPr>
      <w:r>
        <w:rPr>
          <w:rFonts w:ascii="Times New Roman" w:hAnsi="Times New Roman" w:eastAsia="仿宋"/>
          <w:b w:val="0"/>
          <w:sz w:val="22"/>
        </w:rPr>
        <w:t>与第二十二条并列的，还有重大资产重组的交易对方：交易对方提供的信息不真实、准确、完整，导致公司披露的信息存在虚假陈述的，原告可以请求其与发行人等一并赔偿（《若干规定》第二十一条）。重组文件中标的资产的信息由交易对方提供且不实的，投资者可以援引这一条；至于业绩承诺期内标的公司「做业绩」、反映在上市公司以后的定期报告里，能否适用这一条，尚有不同理解，还可以考虑第二十条、第二十二条或者一般侵权规则。</w:t>
      </w:r>
    </w:p>
    <w:p>
      <w:pPr>
        <w:spacing w:before="160" w:after="80"/>
      </w:pPr>
      <w:r>
        <w:rPr>
          <w:rFonts w:ascii="Times New Roman" w:hAnsi="Times New Roman" w:eastAsia="仿宋"/>
          <w:b/>
          <w:sz w:val="26"/>
        </w:rPr>
        <w:t>六、连带之后：谁最终买单</w:t>
      </w:r>
    </w:p>
    <w:p>
      <w:pPr>
        <w:spacing w:after="100"/>
      </w:pPr>
      <w:r>
        <w:rPr>
          <w:rFonts w:ascii="Times New Roman" w:hAnsi="Times New Roman" w:eastAsia="仿宋"/>
          <w:b w:val="0"/>
          <w:color w:val="333333"/>
          <w:sz w:val="21"/>
        </w:rPr>
        <w:t>【要点】承担连带责任的当事人之间的责任分担与追偿，按照民法典第一百七十八条的规定处理，但本规定第二十条第二款规定的情形除外。</w:t>
        <w:br/>
        <w:t>保荐机构、承销机构等责任主体以存在约定为由，请求发行人或者其控股股东、实际控制人补偿其因虚假陈述所承担的赔偿责任的，人民法院不予支持。——《若干规定》第二十三条</w:t>
      </w:r>
    </w:p>
    <w:p>
      <w:pPr>
        <w:spacing w:after="100"/>
      </w:pPr>
      <w:r>
        <w:rPr>
          <w:rFonts w:ascii="Times New Roman" w:hAnsi="Times New Roman" w:eastAsia="仿宋"/>
          <w:b w:val="0"/>
          <w:sz w:val="22"/>
        </w:rPr>
        <w:t>两点含义：一是连带责任人对外向投资者负责，对内按各自责任大小分担，多付的可以追偿；控股股东、实际控制人作为组织者的情形例外，发行人可以全额追回。二是保荐机构、承销机构事先和发行人或实际控制人签的「出了事由你补偿」之类的条款，法院不予支持。中介机构不能靠合同把风险转回给客户。</w:t>
      </w:r>
    </w:p>
    <w:p>
      <w:pPr>
        <w:spacing w:before="160" w:after="80"/>
      </w:pPr>
      <w:r>
        <w:rPr>
          <w:rFonts w:ascii="Times New Roman" w:hAnsi="Times New Roman" w:eastAsia="仿宋"/>
          <w:b/>
          <w:sz w:val="26"/>
        </w:rPr>
        <w:t>七、常见问答</w:t>
      </w:r>
    </w:p>
    <w:p>
      <w:pPr>
        <w:spacing w:before="80" w:after="40"/>
      </w:pPr>
      <w:r>
        <w:rPr>
          <w:rFonts w:ascii="Times New Roman" w:hAnsi="Times New Roman" w:eastAsia="仿宋"/>
          <w:b/>
          <w:sz w:val="22"/>
        </w:rPr>
        <w:t>Q：独立董事不参与经营，也看不懂财务报表，签了字就要担责吗？</w:t>
      </w:r>
    </w:p>
    <w:p>
      <w:pPr>
        <w:spacing w:after="100"/>
      </w:pPr>
      <w:r>
        <w:rPr>
          <w:rFonts w:ascii="Times New Roman" w:hAnsi="Times New Roman" w:eastAsia="仿宋"/>
          <w:b w:val="0"/>
          <w:sz w:val="22"/>
        </w:rPr>
        <w:t>「不参与日常经营」「没有专业背景」本身不是免责理由（第十四条第二款）。对不属于自身专业领域的具体问题，独立董事可以借助会计、法律等专门职业的帮助；也可以在独立意见中发表保留或反对意见，但发表意见的同时又投了赞成票的，不能据此主张没有过错（第十五条、第十六条）。</w:t>
      </w:r>
    </w:p>
    <w:p>
      <w:pPr>
        <w:spacing w:before="80" w:after="40"/>
      </w:pPr>
      <w:r>
        <w:rPr>
          <w:rFonts w:ascii="Times New Roman" w:hAnsi="Times New Roman" w:eastAsia="仿宋"/>
          <w:b/>
          <w:sz w:val="22"/>
        </w:rPr>
        <w:t>Q：公司是实际控制人一手造假的，上市公司也要赔吗？</w:t>
      </w:r>
    </w:p>
    <w:p>
      <w:pPr>
        <w:spacing w:after="100"/>
      </w:pPr>
      <w:r>
        <w:rPr>
          <w:rFonts w:ascii="Times New Roman" w:hAnsi="Times New Roman" w:eastAsia="仿宋"/>
          <w:b w:val="0"/>
          <w:sz w:val="22"/>
        </w:rPr>
        <w:t>原则上要赔。发行人承担无过错责任；赔付后可以依《若干规定》第二十条第二款要求组织、指使造假的控股股东、实际控制人赔偿实际支付的赔偿款、合理的律师费和诉讼费用等损失。</w:t>
      </w:r>
    </w:p>
    <w:p>
      <w:pPr>
        <w:spacing w:before="80" w:after="40"/>
      </w:pPr>
      <w:r>
        <w:rPr>
          <w:rFonts w:ascii="Times New Roman" w:hAnsi="Times New Roman" w:eastAsia="仿宋"/>
          <w:b/>
          <w:sz w:val="22"/>
        </w:rPr>
        <w:t>Q：客户只是按对方要求在函证上盖了章，算「配合造假」吗？</w:t>
      </w:r>
    </w:p>
    <w:p>
      <w:pPr>
        <w:spacing w:after="100"/>
      </w:pPr>
      <w:r>
        <w:rPr>
          <w:rFonts w:ascii="Times New Roman" w:hAnsi="Times New Roman" w:eastAsia="仿宋"/>
          <w:b w:val="0"/>
          <w:sz w:val="22"/>
        </w:rPr>
        <w:t>关键在是否「明知发行人实施财务造假活动」。明知对方在造假，仍按其要求在内容不实的函证上盖章回函的，有被认定为第二十二条配合行为的风险；这一「明知」需要原告证明。</w:t>
      </w:r>
    </w:p>
    <w:p>
      <w:pPr>
        <w:spacing w:before="80" w:after="40"/>
      </w:pPr>
      <w:r>
        <w:rPr>
          <w:rFonts w:ascii="Times New Roman" w:hAnsi="Times New Roman" w:eastAsia="仿宋"/>
          <w:b/>
          <w:sz w:val="22"/>
        </w:rPr>
        <w:t>Q：券商和上市公司签了补偿协议，出事后能找公司要回来吗？</w:t>
      </w:r>
    </w:p>
    <w:p>
      <w:pPr>
        <w:spacing w:after="100"/>
      </w:pPr>
      <w:r>
        <w:rPr>
          <w:rFonts w:ascii="Times New Roman" w:hAnsi="Times New Roman" w:eastAsia="仿宋"/>
          <w:b w:val="0"/>
          <w:sz w:val="22"/>
        </w:rPr>
        <w:t>以约定为由要求发行人或其控股股东、实际控制人补偿的，法院不予支持（第二十三条第二款）。连带责任人之间按责任大小分担、超额部分追偿，是另一回事。</w:t>
      </w:r>
    </w:p>
    <w:p>
      <w:pPr>
        <w:spacing w:before="160" w:after="80"/>
      </w:pPr>
      <w:r>
        <w:rPr>
          <w:rFonts w:ascii="Times New Roman" w:hAnsi="Times New Roman" w:eastAsia="仿宋"/>
          <w:b/>
          <w:sz w:val="26"/>
        </w:rPr>
        <w:t>本篇主要依据</w:t>
      </w:r>
    </w:p>
    <w:p>
      <w:pPr>
        <w:spacing w:after="100"/>
      </w:pPr>
      <w:r>
        <w:rPr>
          <w:rFonts w:ascii="Times New Roman" w:hAnsi="Times New Roman" w:eastAsia="仿宋"/>
          <w:b w:val="0"/>
          <w:sz w:val="22"/>
        </w:rPr>
        <w:t>· 《中华人民共和国证券法》（2019 修订，2020 年 3 月 1 日施行）第八十五条</w:t>
      </w:r>
    </w:p>
    <w:p>
      <w:pPr>
        <w:spacing w:after="100"/>
      </w:pPr>
      <w:r>
        <w:rPr>
          <w:rFonts w:ascii="Times New Roman" w:hAnsi="Times New Roman" w:eastAsia="仿宋"/>
          <w:b w:val="0"/>
          <w:sz w:val="22"/>
        </w:rPr>
        <w:t>· 《最高人民法院关于审理证券市场虚假陈述侵权民事赔偿案件的若干规定》（法释〔2022〕2 号）第十三条至第十六条、第二十条至第二十三条</w:t>
      </w:r>
    </w:p>
    <w:p>
      <w:pPr>
        <w:spacing w:after="100"/>
      </w:pPr>
      <w:r>
        <w:rPr>
          <w:rFonts w:ascii="Times New Roman" w:hAnsi="Times New Roman" w:eastAsia="仿宋"/>
          <w:b w:val="0"/>
          <w:sz w:val="22"/>
        </w:rPr>
        <w:t>· 《中华人民共和国公司法》（2023 修订，2024 年 7 月 1 日施行）第一百九十二条</w:t>
      </w:r>
    </w:p>
    <w:p>
      <w:pPr>
        <w:spacing w:after="100"/>
      </w:pPr>
      <w:r>
        <w:rPr>
          <w:rFonts w:ascii="Times New Roman" w:hAnsi="Times New Roman" w:eastAsia="仿宋"/>
          <w:b w:val="0"/>
          <w:sz w:val="22"/>
        </w:rPr>
        <w:t>· 《中华人民共和国民法典》第一百七十八条、第一千一百六十九条</w:t>
      </w:r>
    </w:p>
    <w:p>
      <w:pPr>
        <w:spacing w:after="100"/>
      </w:pPr>
      <w:r>
        <w:rPr>
          <w:rFonts w:ascii="Times New Roman" w:hAnsi="Times New Roman" w:eastAsia="仿宋"/>
          <w:b w:val="0"/>
          <w:sz w:val="22"/>
        </w:rPr>
        <w:t>· 最高人民法院对十三届全国人大五次会议第 2336 号建议的答复（2022 年 9 月 14 日）</w:t>
      </w:r>
    </w:p>
    <w:p>
      <w:pPr>
        <w:spacing w:after="100"/>
      </w:pPr>
      <w:r>
        <w:rPr>
          <w:rFonts w:ascii="Times New Roman" w:hAnsi="Times New Roman" w:eastAsia="仿宋"/>
          <w:b w:val="0"/>
          <w:sz w:val="22"/>
        </w:rPr>
        <w:t>· 最高人民法院、中国证券监督管理委员会《关于严格公正执法司法服务保障资本市场高质量发展的指导意见》（法发〔2025〕9 号，2025 年 5 月 15 日印发）第 5 条</w:t>
      </w:r>
    </w:p>
    <w:p>
      <w:pPr>
        <w:spacing w:after="100"/>
      </w:pPr>
      <w:r>
        <w:rPr>
          <w:rFonts w:ascii="Times New Roman" w:hAnsi="Times New Roman" w:eastAsia="仿宋"/>
          <w:b w:val="0"/>
          <w:sz w:val="22"/>
        </w:rPr>
        <w:t>· （2020）粤 01 民初 2171 号康美药业证券虚假陈述责任纠纷特别代表人诉讼案；上海市高级人民法院 2025 年 9 月配合造假二审判决，据《中国经营报》2025 年 10 月 11 日报道（案号未检索到）</w:t>
      </w:r>
    </w:p>
    <w:p>
      <w:pPr>
        <w:spacing w:after="100"/>
      </w:pPr>
      <w:r>
        <w:rPr>
          <w:rFonts w:ascii="Times New Roman" w:hAnsi="Times New Roman" w:eastAsia="仿宋"/>
          <w:b w:val="0"/>
          <w:sz w:val="22"/>
        </w:rPr>
        <w:t>· 丁宇翔：《证券市场财务性虚假陈述的典型形态及其侵权责任认定研究》，载《法律适用》2026 年第 10 期（文中所述该文观点均为转述，系作者个人学术观点）</w:t>
      </w:r>
    </w:p>
    <w:p>
      <w:pPr>
        <w:spacing w:after="100"/>
      </w:pPr>
      <w:r>
        <w:rPr>
          <w:rFonts w:ascii="Times New Roman" w:hAnsi="Times New Roman" w:eastAsia="仿宋"/>
          <w:b w:val="0"/>
          <w:color w:val="333333"/>
          <w:sz w:val="21"/>
        </w:rPr>
        <w:t>【说明】本文为法律问题的研究与学习材料，免费提供，仅供参考学习之用，不构成对任何具体事项的法律意见。所引条文以写作时检索的现行有效版本为准，法律法规及监管口径可能变动，内容可能更新不及时或不准确。具体事项请咨询您的律师。</w:t>
      </w:r>
    </w:p>
    <w:p>
      <w:pPr>
        <w:spacing w:before="360" w:after="120"/>
      </w:pPr>
      <w:r>
        <w:rPr>
          <w:rFonts w:ascii="Times New Roman" w:hAnsi="Times New Roman" w:eastAsia="仿宋"/>
          <w:b/>
          <w:sz w:val="30"/>
        </w:rPr>
        <w:t>第三篇　看门人的责任：全额连带还是按比例，取决于过错。</w:t>
      </w:r>
    </w:p>
    <w:p>
      <w:pPr>
        <w:spacing w:before="160" w:after="80"/>
      </w:pPr>
      <w:r>
        <w:rPr>
          <w:rFonts w:ascii="Times New Roman" w:hAnsi="Times New Roman" w:eastAsia="仿宋"/>
          <w:b/>
          <w:sz w:val="26"/>
        </w:rPr>
        <w:t>一、起点：过错推定</w:t>
      </w:r>
    </w:p>
    <w:p>
      <w:pPr>
        <w:spacing w:after="100"/>
      </w:pPr>
      <w:r>
        <w:rPr>
          <w:rFonts w:ascii="Times New Roman" w:hAnsi="Times New Roman" w:eastAsia="仿宋"/>
          <w:b w:val="0"/>
          <w:sz w:val="22"/>
        </w:rPr>
        <w:t>保荐机构、会计师事务所、律师事务所常被称为资本市场的「看门人」。财务造假被揭露后，投资者可以依法把他们列为被告，原因在于法律给他们设定的是过错推定：</w:t>
      </w:r>
    </w:p>
    <w:p>
      <w:pPr>
        <w:spacing w:after="100"/>
      </w:pPr>
      <w:r>
        <w:rPr>
          <w:rFonts w:ascii="Times New Roman" w:hAnsi="Times New Roman" w:eastAsia="仿宋"/>
          <w:b w:val="0"/>
          <w:color w:val="333333"/>
          <w:sz w:val="21"/>
        </w:rPr>
        <w:t>【要点】证券服务机构为证券的发行、上市、交易等证券业务活动制作、出具审计报告及其他鉴证报告、资产评估报告、财务顾问报告、资信评级报告或者法律意见书等文件，应当勤勉尽责，对所依据的文件资料内容的真实性、准确性、完整性进行核查和验证。其制作、出具的文件有虚假记载、误导性陈述或者重大遗漏，给他人造成损失的，应当与委托人承担连带赔偿责任，但是能够证明自己没有过错的除外。——《证券法》第一百六十三条</w:t>
      </w:r>
    </w:p>
    <w:p>
      <w:pPr>
        <w:spacing w:after="100"/>
      </w:pPr>
      <w:r>
        <w:rPr>
          <w:rFonts w:ascii="Times New Roman" w:hAnsi="Times New Roman" w:eastAsia="仿宋"/>
          <w:b w:val="0"/>
          <w:sz w:val="22"/>
        </w:rPr>
        <w:t>保荐人、承销的证券公司适用《证券法》第八十五条，同样是「连带＋能证明自己没有过错的除外」。</w:t>
      </w:r>
    </w:p>
    <w:p>
      <w:pPr>
        <w:spacing w:after="100"/>
      </w:pPr>
      <w:r>
        <w:rPr>
          <w:rFonts w:ascii="Times New Roman" w:hAnsi="Times New Roman" w:eastAsia="仿宋"/>
          <w:b w:val="0"/>
          <w:sz w:val="22"/>
        </w:rPr>
        <w:t>「过错」的门槛并不低。《若干规定》第十三条把过错限定为故意，或者「严重违反注意义务」的过失（详见第二篇）。最高人民法院在 2022 年的一份答复中说得更直接：</w:t>
      </w:r>
    </w:p>
    <w:p>
      <w:pPr>
        <w:spacing w:after="100"/>
      </w:pPr>
      <w:r>
        <w:rPr>
          <w:rFonts w:ascii="Times New Roman" w:hAnsi="Times New Roman" w:eastAsia="仿宋"/>
          <w:b w:val="0"/>
          <w:color w:val="333333"/>
          <w:sz w:val="21"/>
        </w:rPr>
        <w:t>【要点】《虚假陈述司法解释》第13条明确了证券法第163条所称的过错，为故意和重大过失，故只有在会计师事务所对虚假陈述行为存在故意或重大过失时才可能对相关损失承担连带赔偿责任。——最高人民法院对十三届全国人大五次会议第 2336 号建议的答复（2022 年 9 月 14 日）</w:t>
      </w:r>
    </w:p>
    <w:p>
      <w:pPr>
        <w:spacing w:after="100"/>
      </w:pPr>
      <w:r>
        <w:rPr>
          <w:rFonts w:ascii="Times New Roman" w:hAnsi="Times New Roman" w:eastAsia="仿宋"/>
          <w:b w:val="0"/>
          <w:sz w:val="22"/>
        </w:rPr>
        <w:t>2025 年 5 月，最高人民法院、中国证监会联合印发的《关于严格公正执法司法服务保障资本市场高质量发展的指导意见》（法发〔2025〕9 号）同样使用「故意与重大过失」的表述，并要求：</w:t>
      </w:r>
    </w:p>
    <w:p>
      <w:pPr>
        <w:spacing w:after="100"/>
      </w:pPr>
      <w:r>
        <w:rPr>
          <w:rFonts w:ascii="Times New Roman" w:hAnsi="Times New Roman" w:eastAsia="仿宋"/>
          <w:b w:val="0"/>
          <w:color w:val="333333"/>
          <w:sz w:val="21"/>
        </w:rPr>
        <w:t>【要点】以行业的执业准则和业务规则为基本依据，进一步压实中介机构责任。——法发〔2025〕9 号第 6 条（节录）</w:t>
      </w:r>
    </w:p>
    <w:p>
      <w:pPr>
        <w:spacing w:after="100"/>
      </w:pPr>
      <w:r>
        <w:rPr>
          <w:rFonts w:ascii="Times New Roman" w:hAnsi="Times New Roman" w:eastAsia="仿宋"/>
          <w:b w:val="0"/>
          <w:sz w:val="22"/>
        </w:rPr>
        <w:t>门槛不低，但举证责任在中介机构一方。打官司时，中介机构要拿出证据证明自己做到了应该做的事——而这些证据，主要依赖项目当时留下的工作底稿。</w:t>
      </w:r>
    </w:p>
    <w:p>
      <w:pPr>
        <w:spacing w:before="160" w:after="80"/>
      </w:pPr>
      <w:r>
        <w:rPr>
          <w:rFonts w:ascii="Times New Roman" w:hAnsi="Times New Roman" w:eastAsia="仿宋"/>
          <w:b/>
          <w:sz w:val="26"/>
        </w:rPr>
        <w:t>二、全额连带还是按比例连带：三起案件</w:t>
      </w:r>
    </w:p>
    <w:p>
      <w:pPr>
        <w:spacing w:after="100"/>
      </w:pPr>
      <w:r>
        <w:rPr>
          <w:rFonts w:ascii="Times New Roman" w:hAnsi="Times New Roman" w:eastAsia="仿宋"/>
          <w:b w:val="0"/>
          <w:sz w:val="22"/>
        </w:rPr>
        <w:t>《证券法》写的是「连带赔偿责任」，没有写比例。但近几年几起知名案件中，法院判令中介机构在一定比例范围内承担连带责任：</w:t>
      </w:r>
    </w:p>
    <w:tbl>
      <w:tblPr>
        <w:tblStyle w:val="TableGrid"/>
        <w:tblW w:type="auto" w:w="0"/>
        <w:tblLook w:firstColumn="1" w:firstRow="1" w:lastColumn="0" w:lastRow="0" w:noHBand="0" w:noVBand="1" w:val="04A0"/>
      </w:tblPr>
      <w:tblGrid>
        <w:gridCol w:w="2266"/>
        <w:gridCol w:w="2266"/>
        <w:gridCol w:w="2266"/>
        <w:gridCol w:w="2266"/>
      </w:tblGrid>
      <w:tr>
        <w:tc>
          <w:tcPr>
            <w:tcW w:type="dxa" w:w="2266"/>
          </w:tcPr>
          <w:p>
            <w:r>
              <w:rPr>
                <w:rFonts w:ascii="Times New Roman" w:hAnsi="Times New Roman" w:eastAsia="仿宋"/>
                <w:b/>
                <w:sz w:val="20"/>
              </w:rPr>
              <w:t>案件</w:t>
            </w:r>
          </w:p>
        </w:tc>
        <w:tc>
          <w:tcPr>
            <w:tcW w:type="dxa" w:w="2266"/>
          </w:tcPr>
          <w:p>
            <w:r>
              <w:rPr>
                <w:rFonts w:ascii="Times New Roman" w:hAnsi="Times New Roman" w:eastAsia="仿宋"/>
                <w:b/>
                <w:sz w:val="20"/>
              </w:rPr>
              <w:t>审级</w:t>
            </w:r>
          </w:p>
        </w:tc>
        <w:tc>
          <w:tcPr>
            <w:tcW w:type="dxa" w:w="2266"/>
          </w:tcPr>
          <w:p>
            <w:r>
              <w:rPr>
                <w:rFonts w:ascii="Times New Roman" w:hAnsi="Times New Roman" w:eastAsia="仿宋"/>
                <w:b/>
                <w:sz w:val="20"/>
              </w:rPr>
              <w:t>中介机构的责任</w:t>
            </w:r>
          </w:p>
        </w:tc>
        <w:tc>
          <w:tcPr>
            <w:tcW w:type="dxa" w:w="2266"/>
          </w:tcPr>
          <w:p>
            <w:r>
              <w:rPr>
                <w:rFonts w:ascii="Times New Roman" w:hAnsi="Times New Roman" w:eastAsia="仿宋"/>
                <w:b/>
                <w:sz w:val="20"/>
              </w:rPr>
              <w:t>出处</w:t>
            </w:r>
          </w:p>
        </w:tc>
      </w:tr>
      <w:tr>
        <w:tc>
          <w:tcPr>
            <w:tcW w:type="dxa" w:w="2266"/>
          </w:tcPr>
          <w:p>
            <w:r>
              <w:rPr>
                <w:rFonts w:ascii="Times New Roman" w:hAnsi="Times New Roman" w:eastAsia="仿宋"/>
                <w:b w:val="0"/>
                <w:sz w:val="20"/>
              </w:rPr>
              <w:t>康美药业案</w:t>
              <w:br/>
              <w:t>（2020）粤 01 民初 2171 号</w:t>
            </w:r>
          </w:p>
        </w:tc>
        <w:tc>
          <w:tcPr>
            <w:tcW w:type="dxa" w:w="2266"/>
          </w:tcPr>
          <w:p>
            <w:r>
              <w:rPr>
                <w:rFonts w:ascii="Times New Roman" w:hAnsi="Times New Roman" w:eastAsia="仿宋"/>
                <w:b w:val="0"/>
                <w:sz w:val="20"/>
              </w:rPr>
              <w:t>广州市中级人民法院一审（特别代表人诉讼；据公开报道，各方未上诉）</w:t>
            </w:r>
          </w:p>
        </w:tc>
        <w:tc>
          <w:tcPr>
            <w:tcW w:type="dxa" w:w="2266"/>
          </w:tcPr>
          <w:p>
            <w:r>
              <w:rPr>
                <w:rFonts w:ascii="Times New Roman" w:hAnsi="Times New Roman" w:eastAsia="仿宋"/>
                <w:b w:val="0"/>
                <w:sz w:val="20"/>
              </w:rPr>
              <w:t>会计师事务所因未实施基本的审计程序，承担连带赔偿责任（据公开报道为 100%）</w:t>
            </w:r>
          </w:p>
        </w:tc>
        <w:tc>
          <w:tcPr>
            <w:tcW w:type="dxa" w:w="2266"/>
          </w:tcPr>
          <w:p>
            <w:r>
              <w:rPr>
                <w:rFonts w:ascii="Times New Roman" w:hAnsi="Times New Roman" w:eastAsia="仿宋"/>
                <w:b w:val="0"/>
                <w:sz w:val="20"/>
              </w:rPr>
              <w:t>最高人民法院 2022 年 9 月答复；公开报道</w:t>
            </w:r>
          </w:p>
        </w:tc>
      </w:tr>
      <w:tr>
        <w:tc>
          <w:tcPr>
            <w:tcW w:type="dxa" w:w="2266"/>
          </w:tcPr>
          <w:p>
            <w:r>
              <w:rPr>
                <w:rFonts w:ascii="Times New Roman" w:hAnsi="Times New Roman" w:eastAsia="仿宋"/>
                <w:b w:val="0"/>
                <w:sz w:val="20"/>
              </w:rPr>
              <w:t>中安科案</w:t>
              <w:br/>
              <w:t>（2020）沪民终 666 号</w:t>
            </w:r>
          </w:p>
        </w:tc>
        <w:tc>
          <w:tcPr>
            <w:tcW w:type="dxa" w:w="2266"/>
          </w:tcPr>
          <w:p>
            <w:r>
              <w:rPr>
                <w:rFonts w:ascii="Times New Roman" w:hAnsi="Times New Roman" w:eastAsia="仿宋"/>
                <w:b w:val="0"/>
                <w:sz w:val="20"/>
              </w:rPr>
              <w:t>上海市高级人民法院二审</w:t>
            </w:r>
          </w:p>
        </w:tc>
        <w:tc>
          <w:tcPr>
            <w:tcW w:type="dxa" w:w="2266"/>
          </w:tcPr>
          <w:p>
            <w:r>
              <w:rPr>
                <w:rFonts w:ascii="Times New Roman" w:hAnsi="Times New Roman" w:eastAsia="仿宋"/>
                <w:b w:val="0"/>
                <w:sz w:val="20"/>
              </w:rPr>
              <w:t>会计师事务所在 15% 范围内承担连带责任；据公开报道，独立财务顾问在 25% 范围内承担连带责任</w:t>
            </w:r>
          </w:p>
        </w:tc>
        <w:tc>
          <w:tcPr>
            <w:tcW w:type="dxa" w:w="2266"/>
          </w:tcPr>
          <w:p>
            <w:r>
              <w:rPr>
                <w:rFonts w:ascii="Times New Roman" w:hAnsi="Times New Roman" w:eastAsia="仿宋"/>
                <w:b w:val="0"/>
                <w:sz w:val="20"/>
              </w:rPr>
              <w:t>最高人民法院 2022 年 9 月答复；公开报道</w:t>
            </w:r>
          </w:p>
        </w:tc>
      </w:tr>
      <w:tr>
        <w:tc>
          <w:tcPr>
            <w:tcW w:type="dxa" w:w="2266"/>
          </w:tcPr>
          <w:p>
            <w:r>
              <w:rPr>
                <w:rFonts w:ascii="Times New Roman" w:hAnsi="Times New Roman" w:eastAsia="仿宋"/>
                <w:b w:val="0"/>
                <w:sz w:val="20"/>
              </w:rPr>
              <w:t>五洋建设债券案</w:t>
            </w:r>
          </w:p>
        </w:tc>
        <w:tc>
          <w:tcPr>
            <w:tcW w:type="dxa" w:w="2266"/>
          </w:tcPr>
          <w:p>
            <w:r>
              <w:rPr>
                <w:rFonts w:ascii="Times New Roman" w:hAnsi="Times New Roman" w:eastAsia="仿宋"/>
                <w:b w:val="0"/>
                <w:sz w:val="20"/>
              </w:rPr>
              <w:t>浙江省高级人民法院二审，2021 年 9 月 22 日</w:t>
            </w:r>
          </w:p>
        </w:tc>
        <w:tc>
          <w:tcPr>
            <w:tcW w:type="dxa" w:w="2266"/>
          </w:tcPr>
          <w:p>
            <w:r>
              <w:rPr>
                <w:rFonts w:ascii="Times New Roman" w:hAnsi="Times New Roman" w:eastAsia="仿宋"/>
                <w:b w:val="0"/>
                <w:sz w:val="20"/>
              </w:rPr>
              <w:t>据公开报道，承销机构、出具审计报告的会计师事务所承担连带责任；律师事务所在 5%、资信评级机构在 10% 范围内承担连带责任</w:t>
            </w:r>
          </w:p>
        </w:tc>
        <w:tc>
          <w:tcPr>
            <w:tcW w:type="dxa" w:w="2266"/>
          </w:tcPr>
          <w:p>
            <w:r>
              <w:rPr>
                <w:rFonts w:ascii="Times New Roman" w:hAnsi="Times New Roman" w:eastAsia="仿宋"/>
                <w:b w:val="0"/>
                <w:sz w:val="20"/>
              </w:rPr>
              <w:t>首批长三角金融审判十大典型案例（2022 年 7 月发布）；公开报道</w:t>
            </w:r>
          </w:p>
        </w:tc>
      </w:tr>
    </w:tbl>
    <w:p/>
    <w:p>
      <w:pPr>
        <w:spacing w:after="100"/>
      </w:pPr>
      <w:r>
        <w:rPr>
          <w:rFonts w:ascii="Times New Roman" w:hAnsi="Times New Roman" w:eastAsia="仿宋"/>
          <w:b w:val="0"/>
          <w:sz w:val="22"/>
        </w:rPr>
        <w:t>最高人民法院在上述答复中评价，中安科案是「结合行为性质和内容、过错程度、与投资者损失之间的原因力等因素」作出的判决，这类实践「体现了精细化认定主体责任、『过责相当』的审理思路」。</w:t>
      </w:r>
    </w:p>
    <w:p>
      <w:pPr>
        <w:spacing w:after="100"/>
      </w:pPr>
      <w:r>
        <w:rPr>
          <w:rFonts w:ascii="Times New Roman" w:hAnsi="Times New Roman" w:eastAsia="仿宋"/>
          <w:b w:val="0"/>
          <w:sz w:val="22"/>
        </w:rPr>
        <w:t>「比例连带」的规则来源可以从两份文件里看出来。一是 2020 年的债券纠纷座谈会纪要：</w:t>
      </w:r>
    </w:p>
    <w:p>
      <w:pPr>
        <w:spacing w:after="100"/>
      </w:pPr>
      <w:r>
        <w:rPr>
          <w:rFonts w:ascii="Times New Roman" w:hAnsi="Times New Roman" w:eastAsia="仿宋"/>
          <w:b w:val="0"/>
          <w:color w:val="333333"/>
          <w:sz w:val="21"/>
        </w:rPr>
        <w:t>【要点】会议认为，对于债券欺诈发行、虚假陈述案件的审理，要按照证券法的规定，严格落实债券承销机构和债券服务机构保护投资者利益的核查把关责任，将责任承担与过错程度相结合。——《全国法院审理债券纠纷案件座谈会纪要》第六部分</w:t>
      </w:r>
    </w:p>
    <w:p>
      <w:pPr>
        <w:spacing w:after="100"/>
      </w:pPr>
      <w:r>
        <w:rPr>
          <w:rFonts w:ascii="Times New Roman" w:hAnsi="Times New Roman" w:eastAsia="仿宋"/>
          <w:b w:val="0"/>
          <w:sz w:val="22"/>
        </w:rPr>
        <w:t>二是 2007 年的会计师事务所审计侵权司法解释：会计师事务所因过失出具不实报告的，「应当根据其过失大小确定其赔偿责任」（第六条第一款）。不过，该解释第十条为过失责任设计了先后顺序：先由被审计单位赔偿；出资人有虚假出资等情形的，在相应数额内补充赔偿；仍不足的，才由会计师事务所在不实审计金额范围内承担。这种补充责任与作为上位法的《证券法》第一百六十三条所规定的连带责任并不一致。此外，《若干规定》第三十五条也明确，2007 年的解释与《若干规定》不一致的，以《若干规定》为准。</w:t>
      </w:r>
    </w:p>
    <w:p>
      <w:pPr>
        <w:spacing w:after="100"/>
      </w:pPr>
      <w:r>
        <w:rPr>
          <w:rFonts w:ascii="Times New Roman" w:hAnsi="Times New Roman" w:eastAsia="仿宋"/>
          <w:b w:val="0"/>
          <w:sz w:val="22"/>
        </w:rPr>
        <w:t>需要如实说明两点。第一，上表三起案件都在《若干规定》施行（2022 年 1 月 22 日）之前作出判决，适用的是当时的规则。第二，到本文写作时，司法解释条文中仍没有「比例连带」这一表述，它来自裁判实践和最高人民法院的司法政策；比例怎么定，取决于个案中的过错程度和原因力，不存在固定的百分比。</w:t>
      </w:r>
    </w:p>
    <w:p>
      <w:pPr>
        <w:spacing w:before="160" w:after="80"/>
      </w:pPr>
      <w:r>
        <w:rPr>
          <w:rFonts w:ascii="Times New Roman" w:hAnsi="Times New Roman" w:eastAsia="仿宋"/>
          <w:b/>
          <w:sz w:val="26"/>
        </w:rPr>
        <w:t>三、保荐机构：底稿要证明三件事</w:t>
      </w:r>
    </w:p>
    <w:p>
      <w:pPr>
        <w:spacing w:after="100"/>
      </w:pPr>
      <w:r>
        <w:rPr>
          <w:rFonts w:ascii="Times New Roman" w:hAnsi="Times New Roman" w:eastAsia="仿宋"/>
          <w:b w:val="0"/>
          <w:color w:val="333333"/>
          <w:sz w:val="21"/>
        </w:rPr>
        <w:t>【要点】保荐机构、承销机构等机构及其直接责任人员提交的尽职调查工作底稿、尽职调查报告、内部审核意见等证据能够证明下列情形的，人民法院应当认定其没有过错……——《若干规定》第十七条第一款（节录）</w:t>
      </w:r>
    </w:p>
    <w:p>
      <w:pPr>
        <w:spacing w:after="100"/>
      </w:pPr>
      <w:r>
        <w:rPr>
          <w:rFonts w:ascii="Times New Roman" w:hAnsi="Times New Roman" w:eastAsia="仿宋"/>
          <w:b w:val="0"/>
          <w:sz w:val="22"/>
        </w:rPr>
        <w:t>要证明的三种情形，可以概括为：</w:t>
      </w:r>
    </w:p>
    <w:p>
      <w:pPr>
        <w:spacing w:after="100"/>
      </w:pPr>
      <w:r>
        <w:rPr>
          <w:rFonts w:ascii="Times New Roman" w:hAnsi="Times New Roman" w:eastAsia="仿宋"/>
          <w:b w:val="0"/>
          <w:sz w:val="22"/>
        </w:rPr>
        <w:t>· 按照法律法规、监管规则和行业执业规范的要求，对相关内容做了审慎的尽职调查；</w:t>
      </w:r>
    </w:p>
    <w:p>
      <w:pPr>
        <w:spacing w:after="100"/>
      </w:pPr>
      <w:r>
        <w:rPr>
          <w:rFonts w:ascii="Times New Roman" w:hAnsi="Times New Roman" w:eastAsia="仿宋"/>
          <w:b w:val="0"/>
          <w:sz w:val="22"/>
        </w:rPr>
        <w:t>· 对没有证券服务机构专业意见支持的重要内容，经过审慎尽职调查和独立判断，有合理理由相信与真实情况相符；</w:t>
      </w:r>
    </w:p>
    <w:p>
      <w:pPr>
        <w:spacing w:after="100"/>
      </w:pPr>
      <w:r>
        <w:rPr>
          <w:rFonts w:ascii="Times New Roman" w:hAnsi="Times New Roman" w:eastAsia="仿宋"/>
          <w:b w:val="0"/>
          <w:sz w:val="22"/>
        </w:rPr>
        <w:t>· 对有证券服务机构专业意见支持的重要内容，经过审慎核查和必要的调查、复核，有合理理由排除了职业怀疑并形成合理信赖。</w:t>
      </w:r>
    </w:p>
    <w:p>
      <w:pPr>
        <w:spacing w:after="100"/>
      </w:pPr>
      <w:r>
        <w:rPr>
          <w:rFonts w:ascii="Times New Roman" w:hAnsi="Times New Roman" w:eastAsia="仿宋"/>
          <w:b w:val="0"/>
          <w:sz w:val="22"/>
        </w:rPr>
        <w:t>在全国中小企业股份转让系统从事挂牌和定向发行推荐业务的证券公司，也适用这一条（第十七条第二款）。</w:t>
      </w:r>
    </w:p>
    <w:p>
      <w:pPr>
        <w:spacing w:before="160" w:after="80"/>
      </w:pPr>
      <w:r>
        <w:rPr>
          <w:rFonts w:ascii="Times New Roman" w:hAnsi="Times New Roman" w:eastAsia="仿宋"/>
          <w:b/>
          <w:sz w:val="26"/>
        </w:rPr>
        <w:t>四、证券服务机构：责任限于自己的专业领域</w:t>
      </w:r>
    </w:p>
    <w:p>
      <w:pPr>
        <w:spacing w:after="100"/>
      </w:pPr>
      <w:r>
        <w:rPr>
          <w:rFonts w:ascii="Times New Roman" w:hAnsi="Times New Roman" w:eastAsia="仿宋"/>
          <w:b w:val="0"/>
          <w:color w:val="333333"/>
          <w:sz w:val="21"/>
        </w:rPr>
        <w:t>【要点】证券服务机构的责任限于其工作范围和专业领域。证券服务机构依赖保荐机构或者其他证券服务机构的基础工作或者专业意见致使其出具的专业意见存在虚假陈述，能够证明其对所依赖的基础工作或者专业意见经过审慎核查和必要的调查、复核，排除了职业怀疑并形成合理信赖的，人民法院应当认定其没有过错。——《若干规定》第十八条第二款</w:t>
      </w:r>
    </w:p>
    <w:p>
      <w:pPr>
        <w:spacing w:after="100"/>
      </w:pPr>
      <w:r>
        <w:rPr>
          <w:rFonts w:ascii="Times New Roman" w:hAnsi="Times New Roman" w:eastAsia="仿宋"/>
          <w:b w:val="0"/>
          <w:sz w:val="22"/>
        </w:rPr>
        <w:t>第一款还规定了判断的方法：按照法律法规和监管规则，参考行业执业规范规定的工作范围和程序要求，「结合其核查、验证工作底稿等相关证据」认定是否存在过错。</w:t>
      </w:r>
    </w:p>
    <w:p>
      <w:pPr>
        <w:spacing w:after="100"/>
      </w:pPr>
      <w:r>
        <w:rPr>
          <w:rFonts w:ascii="Times New Roman" w:hAnsi="Times New Roman" w:eastAsia="仿宋"/>
          <w:b w:val="0"/>
          <w:sz w:val="22"/>
        </w:rPr>
        <w:t>会计师事务所。《若干规定》第十九条列了四种可以认定没有过错的情形：按照执业准则、规则确定的程序和手段并保持必要的职业谨慎，仍未发现会计资料存在错误；审计必须依赖的金融机构、发行人的供应商、客户等提供了不实证明文件，保持了必要的职业谨慎仍未发现；已对舞弊迹象提出警告并发表了审慎审计意见；以及其他能证明没有过错的情形。</w:t>
      </w:r>
    </w:p>
    <w:p>
      <w:pPr>
        <w:spacing w:after="100"/>
      </w:pPr>
      <w:r>
        <w:rPr>
          <w:rFonts w:ascii="Times New Roman" w:hAnsi="Times New Roman" w:eastAsia="仿宋"/>
          <w:b w:val="0"/>
          <w:sz w:val="22"/>
        </w:rPr>
        <w:t>其中第二项与财务造假的关系最直接：第三方在函证中提供虚假信息，函证程序就失去了意义。丁宇翔文认为，审计失败若完全由第三方虚假回函造成、审计机构别无违反注意义务之处，应当认定其推翻了过错推定。要注意条文的限定语——「保持了必要的职业谨慎」：回函地址是否由被审计单位提供、回函是否经被审计单位转交、回函内容与其他证据是否矛盾，都是会被追问的细节。</w:t>
      </w:r>
    </w:p>
    <w:p>
      <w:pPr>
        <w:spacing w:after="100"/>
      </w:pPr>
      <w:r>
        <w:rPr>
          <w:rFonts w:ascii="Times New Roman" w:hAnsi="Times New Roman" w:eastAsia="仿宋"/>
          <w:b w:val="0"/>
          <w:sz w:val="22"/>
        </w:rPr>
        <w:t>2007 年的审计侵权司法解释第六条列举了十种可以认定会计师事务所存在过失的情形，例如「在发现可能存在错误和舞弊的迹象时，未能追加必要的审计程序予以证实或者排除」「错误判断和评价审计证据」，在不与《若干规定》冲突的范围内，仍可作为判断勤勉程度的参考。需要注意，第六条认定的是一般过失；落入其中某项情形，并不当然等于第十三条所说的「严重违反注意义务」。</w:t>
      </w:r>
    </w:p>
    <w:p>
      <w:pPr>
        <w:spacing w:after="100"/>
      </w:pPr>
      <w:r>
        <w:rPr>
          <w:rFonts w:ascii="Times New Roman" w:hAnsi="Times New Roman" w:eastAsia="仿宋"/>
          <w:b w:val="0"/>
          <w:sz w:val="22"/>
        </w:rPr>
        <w:t>律师事务所。律师对财务数据的注意义务，与会计师不同：</w:t>
      </w:r>
    </w:p>
    <w:p>
      <w:pPr>
        <w:spacing w:after="100"/>
      </w:pPr>
      <w:r>
        <w:rPr>
          <w:rFonts w:ascii="Times New Roman" w:hAnsi="Times New Roman" w:eastAsia="仿宋"/>
          <w:b w:val="0"/>
          <w:color w:val="333333"/>
          <w:sz w:val="21"/>
        </w:rPr>
        <w:t>【要点】律师在出具法律意见时，对与法律相关的业务事项应当履行法律专业人士特别的注意义务，对其他业务事项履行普通人一般的注意义务，其制作、出具的文件不得有虚假记载、误导性陈述或者重大遗漏。——《律师事务所从事证券法律业务管理办法》（2023）第十五条</w:t>
      </w:r>
    </w:p>
    <w:p>
      <w:pPr>
        <w:spacing w:after="100"/>
      </w:pPr>
      <w:r>
        <w:rPr>
          <w:rFonts w:ascii="Times New Roman" w:hAnsi="Times New Roman" w:eastAsia="仿宋"/>
          <w:b w:val="0"/>
          <w:sz w:val="22"/>
        </w:rPr>
        <w:t>首发业务的执业细则进一步写明了「合理信赖」要做哪些事，以及什么情况下不能主张合理信赖：</w:t>
      </w:r>
    </w:p>
    <w:p>
      <w:pPr>
        <w:spacing w:after="100"/>
      </w:pPr>
      <w:r>
        <w:rPr>
          <w:rFonts w:ascii="Times New Roman" w:hAnsi="Times New Roman" w:eastAsia="仿宋"/>
          <w:b w:val="0"/>
          <w:color w:val="333333"/>
          <w:sz w:val="21"/>
        </w:rPr>
        <w:t>【要点】律师事务所及其指派的律师制作、出具专业意见依赖保荐机构、其他证券服务机构等的基础工作或者专业意见的，应当保持职业怀疑。在履行必要的调查、复核工作的基础上，形成合理信赖，包括开展以下工作：（一）全面阅读保荐机构、其他证券服务机构出具的专业意见；（二）核查保荐机构、其他证券服务机构及其执业人员的专业资质、经验及独立性；（三）关注保荐机构、其他证券服务机构出具专业意见的前提及假设是否符合所在行业的工作惯例；（四）核查所信赖的基础工作或者专业意见是否属于该机构的专业领域，并具有相应的资料支持。……保荐机构或者其他证券服务机构的基础工作或专业意见存在重大异常、前后重大矛盾、重大差异等情形的，律师事务所及其指派的律师不得主张对其的合理信赖。——《监管规则适用指引——法律类第 2 号》第四条（节录）</w:t>
      </w:r>
    </w:p>
    <w:p>
      <w:pPr>
        <w:spacing w:after="100"/>
      </w:pPr>
      <w:r>
        <w:rPr>
          <w:rFonts w:ascii="Times New Roman" w:hAnsi="Times New Roman" w:eastAsia="仿宋"/>
          <w:b w:val="0"/>
          <w:sz w:val="22"/>
        </w:rPr>
        <w:t>对律师而言，这意味着：财务数据本身属于「非法律事项」，律师负的是普通人一般的注意义务；但在首发业务中，律师核查合同、诉讼、关联关系、资产权属等法律事项时看到的事实，如果和其他机构的专业意见存在重大异常、重大矛盾或者重大差异，就不能再主张对该意见的合理信赖。五洋建设债券案是债券业务，判决也早于 2023 年的管理办法和法律类第 2 号；但律师事务所在该案中被判在 5% 范围内承担连带责任，说明在财务造假案件中，律师的注意义务同样会被法院审查。</w:t>
      </w:r>
    </w:p>
    <w:p>
      <w:pPr>
        <w:spacing w:before="160" w:after="80"/>
      </w:pPr>
      <w:r>
        <w:rPr>
          <w:rFonts w:ascii="Times New Roman" w:hAnsi="Times New Roman" w:eastAsia="仿宋"/>
          <w:b/>
          <w:sz w:val="26"/>
        </w:rPr>
        <w:t>五、审计过错的若干考量因素（丁宇翔文观点）</w:t>
      </w:r>
    </w:p>
    <w:p>
      <w:pPr>
        <w:spacing w:after="100"/>
      </w:pPr>
      <w:r>
        <w:rPr>
          <w:rFonts w:ascii="Times New Roman" w:hAnsi="Times New Roman" w:eastAsia="仿宋"/>
          <w:b w:val="0"/>
          <w:sz w:val="22"/>
        </w:rPr>
        <w:t>丁宇翔文对审计机构的过错认定有较多讨论。以下按「可减轻或免除」和「难以成立」两类转述其主要观点，供参考：</w:t>
      </w:r>
    </w:p>
    <w:tbl>
      <w:tblPr>
        <w:tblStyle w:val="TableGrid"/>
        <w:tblW w:type="auto" w:w="0"/>
        <w:tblLook w:firstColumn="1" w:firstRow="1" w:lastColumn="0" w:lastRow="0" w:noHBand="0" w:noVBand="1" w:val="04A0"/>
      </w:tblPr>
      <w:tblGrid>
        <w:gridCol w:w="4533"/>
        <w:gridCol w:w="4533"/>
      </w:tblGrid>
      <w:tr>
        <w:tc>
          <w:tcPr>
            <w:tcW w:type="dxa" w:w="4533"/>
          </w:tcPr>
          <w:p>
            <w:r>
              <w:rPr>
                <w:rFonts w:ascii="Times New Roman" w:hAnsi="Times New Roman" w:eastAsia="仿宋"/>
                <w:b/>
                <w:sz w:val="20"/>
              </w:rPr>
              <w:t>可作为减轻或免除责任的考量</w:t>
            </w:r>
          </w:p>
        </w:tc>
        <w:tc>
          <w:tcPr>
            <w:tcW w:type="dxa" w:w="4533"/>
          </w:tcPr>
          <w:p>
            <w:r>
              <w:rPr>
                <w:rFonts w:ascii="Times New Roman" w:hAnsi="Times New Roman" w:eastAsia="仿宋"/>
                <w:b/>
                <w:sz w:val="20"/>
              </w:rPr>
              <w:t>难以成立的抗辩</w:t>
            </w:r>
          </w:p>
        </w:tc>
      </w:tr>
      <w:tr>
        <w:tc>
          <w:tcPr>
            <w:tcW w:type="dxa" w:w="4533"/>
          </w:tcPr>
          <w:p>
            <w:r>
              <w:rPr>
                <w:rFonts w:ascii="Times New Roman" w:hAnsi="Times New Roman" w:eastAsia="仿宋"/>
                <w:b w:val="0"/>
                <w:sz w:val="20"/>
              </w:rPr>
              <w:t>关联关系被实际控制人、大股东刻意隐瞒，连公司内部人员都不掌握的，可以在确定赔偿范围时酌情考虑；全案证据一致表明中介机构客观上无从知情的，可以推翻过错推定</w:t>
            </w:r>
          </w:p>
        </w:tc>
        <w:tc>
          <w:tcPr>
            <w:tcW w:type="dxa" w:w="4533"/>
          </w:tcPr>
          <w:p>
            <w:r>
              <w:rPr>
                <w:rFonts w:ascii="Times New Roman" w:hAnsi="Times New Roman" w:eastAsia="仿宋"/>
                <w:b w:val="0"/>
                <w:sz w:val="20"/>
              </w:rPr>
              <w:t>管理层凌驾于内部控制之上属于特别风险，审计机构没有为此设计和实施相应程序的，对过错推定的抗辩难以成立</w:t>
            </w:r>
          </w:p>
        </w:tc>
      </w:tr>
      <w:tr>
        <w:tc>
          <w:tcPr>
            <w:tcW w:type="dxa" w:w="4533"/>
          </w:tcPr>
          <w:p>
            <w:r>
              <w:rPr>
                <w:rFonts w:ascii="Times New Roman" w:hAnsi="Times New Roman" w:eastAsia="仿宋"/>
                <w:b w:val="0"/>
                <w:sz w:val="20"/>
              </w:rPr>
              <w:t>第三方配合造假、提供虚假回函，审计机构没有其他违反注意义务的行为</w:t>
            </w:r>
          </w:p>
        </w:tc>
        <w:tc>
          <w:tcPr>
            <w:tcW w:type="dxa" w:w="4533"/>
          </w:tcPr>
          <w:p>
            <w:r>
              <w:rPr>
                <w:rFonts w:ascii="Times New Roman" w:hAnsi="Times New Roman" w:eastAsia="仿宋"/>
                <w:b w:val="0"/>
                <w:sz w:val="20"/>
              </w:rPr>
              <w:t>关键审计事项与实际风险不匹配，对更重大的风险关注不够</w:t>
            </w:r>
          </w:p>
        </w:tc>
      </w:tr>
      <w:tr>
        <w:tc>
          <w:tcPr>
            <w:tcW w:type="dxa" w:w="4533"/>
          </w:tcPr>
          <w:p>
            <w:r>
              <w:rPr>
                <w:rFonts w:ascii="Times New Roman" w:hAnsi="Times New Roman" w:eastAsia="仿宋"/>
                <w:b w:val="0"/>
                <w:sz w:val="20"/>
              </w:rPr>
              <w:t>行业和业务本身复杂，例如活体生物资产的盘点、互联网业务数据的核实</w:t>
            </w:r>
          </w:p>
        </w:tc>
        <w:tc>
          <w:tcPr>
            <w:tcW w:type="dxa" w:w="4533"/>
          </w:tcPr>
          <w:p>
            <w:r>
              <w:rPr>
                <w:rFonts w:ascii="Times New Roman" w:hAnsi="Times New Roman" w:eastAsia="仿宋"/>
                <w:b w:val="0"/>
                <w:sz w:val="20"/>
              </w:rPr>
              <w:t>确定了关键审计事项，却没有执行有针对性的程序、底稿没有记录，使其流于形式</w:t>
            </w:r>
          </w:p>
        </w:tc>
      </w:tr>
      <w:tr>
        <w:tc>
          <w:tcPr>
            <w:tcW w:type="dxa" w:w="4533"/>
          </w:tcPr>
          <w:p>
            <w:r>
              <w:rPr>
                <w:rFonts w:ascii="Times New Roman" w:hAnsi="Times New Roman" w:eastAsia="仿宋"/>
                <w:b w:val="0"/>
                <w:sz w:val="20"/>
              </w:rPr>
              <w:t>北交所、新三板等中小企业的内部控制审计，不宜套用大中型上市公司的标准；适当简化测试方法、容忍个别控制缺陷，不宜仅凭这一点认定未尽勤勉义务</w:t>
            </w:r>
          </w:p>
        </w:tc>
        <w:tc>
          <w:tcPr>
            <w:tcW w:type="dxa" w:w="4533"/>
          </w:tcPr>
          <w:p>
            <w:r>
              <w:rPr>
                <w:rFonts w:ascii="Times New Roman" w:hAnsi="Times New Roman" w:eastAsia="仿宋"/>
                <w:b w:val="0"/>
                <w:sz w:val="20"/>
              </w:rPr>
              <w:t>发行人本应按净额法却按总额法确认收入，保荐机构、审计机构既未专门核查收入确认政策、又给不出合理解释的，可能被认定未尽勤勉义务</w:t>
            </w:r>
          </w:p>
        </w:tc>
      </w:tr>
    </w:tbl>
    <w:p/>
    <w:p>
      <w:pPr>
        <w:spacing w:after="100"/>
      </w:pPr>
      <w:r>
        <w:rPr>
          <w:rFonts w:ascii="Times New Roman" w:hAnsi="Times New Roman" w:eastAsia="仿宋"/>
          <w:b w:val="0"/>
          <w:sz w:val="22"/>
        </w:rPr>
        <w:t>该文还认为，同一家机构同时做财务报表审计和内部控制审计、程序和证据互相援用，不宜简单认定为违反勤勉义务；对另一家审计机构的基础工作经过审慎核查形成合理信赖的，适用《若干规定》第十八条。以上均为该文作者的个人观点，个案中法院如何把握，仍以具体裁判为准。</w:t>
      </w:r>
    </w:p>
    <w:p>
      <w:pPr>
        <w:spacing w:before="160" w:after="80"/>
      </w:pPr>
      <w:r>
        <w:rPr>
          <w:rFonts w:ascii="Times New Roman" w:hAnsi="Times New Roman" w:eastAsia="仿宋"/>
          <w:b/>
          <w:sz w:val="26"/>
        </w:rPr>
        <w:t>六、给中介机构的底稿清单</w:t>
      </w:r>
    </w:p>
    <w:p>
      <w:pPr>
        <w:spacing w:after="100"/>
      </w:pPr>
      <w:r>
        <w:rPr>
          <w:rFonts w:ascii="Times New Roman" w:hAnsi="Times New Roman" w:eastAsia="仿宋"/>
          <w:b w:val="0"/>
          <w:sz w:val="22"/>
        </w:rPr>
        <w:t>从上述规则可以倒推出一个朴素的结论：在虚假陈述诉讼中，中介机构的抗辩主要依赖项目当时的工作底稿。以下几点供执业中参考：</w:t>
      </w:r>
    </w:p>
    <w:p>
      <w:pPr>
        <w:spacing w:after="100"/>
      </w:pPr>
      <w:r>
        <w:rPr>
          <w:rFonts w:ascii="Times New Roman" w:hAnsi="Times New Roman" w:eastAsia="仿宋"/>
          <w:b w:val="0"/>
          <w:sz w:val="22"/>
        </w:rPr>
        <w:t>· 底稿要能回答三个问题：做了什么程序、为什么这样做、发现异常以后怎么处理的。只有结论没有过程的底稿，很难证明「审慎」。</w:t>
      </w:r>
    </w:p>
    <w:p>
      <w:pPr>
        <w:spacing w:after="100"/>
      </w:pPr>
      <w:r>
        <w:rPr>
          <w:rFonts w:ascii="Times New Roman" w:hAnsi="Times New Roman" w:eastAsia="仿宋"/>
          <w:b w:val="0"/>
          <w:sz w:val="22"/>
        </w:rPr>
        <w:t>· 对他人专业意见的信赖要留痕。第十七条第一款第三项、第十八条第二款要求「审慎核查和必要的调查、复核」，法律类第 2 号第四条也要求保持职业怀疑、履行必要的调查和复核工作，不是简单引用。核查对方资质和独立性、关注前提假设、确认属于对方专业领域，这些工作要有记录。</w:t>
      </w:r>
    </w:p>
    <w:p>
      <w:pPr>
        <w:spacing w:after="100"/>
      </w:pPr>
      <w:r>
        <w:rPr>
          <w:rFonts w:ascii="Times New Roman" w:hAnsi="Times New Roman" w:eastAsia="仿宋"/>
          <w:b w:val="0"/>
          <w:sz w:val="22"/>
        </w:rPr>
        <w:t>· 对异常信号要有回应。丁宇翔文列举了几类可能预示财务造假的信号：毛利率明显偏离同行业、货币资金和有息负债同时高企、应收账款和应付账款与收入、采购规模不相称地增长、频繁更换或者在年报发布前临时更换审计机构。这些信号出现时，底稿里应当能看到追加了什么程序、得出了什么判断。</w:t>
      </w:r>
    </w:p>
    <w:p>
      <w:pPr>
        <w:spacing w:after="100"/>
      </w:pPr>
      <w:r>
        <w:rPr>
          <w:rFonts w:ascii="Times New Roman" w:hAnsi="Times New Roman" w:eastAsia="仿宋"/>
          <w:b w:val="0"/>
          <w:sz w:val="22"/>
        </w:rPr>
        <w:t>· 不要指望协议兜底。保荐机构、承销机构以约定为由要求发行人或其控股股东、实际控制人补偿的，法院不予支持（《若干规定》第二十三条第二款）。</w:t>
      </w:r>
    </w:p>
    <w:p>
      <w:pPr>
        <w:spacing w:before="160" w:after="80"/>
      </w:pPr>
      <w:r>
        <w:rPr>
          <w:rFonts w:ascii="Times New Roman" w:hAnsi="Times New Roman" w:eastAsia="仿宋"/>
          <w:b/>
          <w:sz w:val="26"/>
        </w:rPr>
        <w:t>七、常见问答</w:t>
      </w:r>
    </w:p>
    <w:p>
      <w:pPr>
        <w:spacing w:before="80" w:after="40"/>
      </w:pPr>
      <w:r>
        <w:rPr>
          <w:rFonts w:ascii="Times New Roman" w:hAnsi="Times New Roman" w:eastAsia="仿宋"/>
          <w:b/>
          <w:sz w:val="22"/>
        </w:rPr>
        <w:t>Q：中介机构被判「在 10% 范围内承担连带责任」，是什么意思？</w:t>
      </w:r>
    </w:p>
    <w:p>
      <w:pPr>
        <w:spacing w:after="100"/>
      </w:pPr>
      <w:r>
        <w:rPr>
          <w:rFonts w:ascii="Times New Roman" w:hAnsi="Times New Roman" w:eastAsia="仿宋"/>
          <w:b w:val="0"/>
          <w:sz w:val="22"/>
        </w:rPr>
        <w:t>投资者可以直接要求该中介机构赔偿，但以发行人应负赔偿总额的 10% 为上限；在这个上限之内，它与发行人等其他责任人对投资者承担连带责任，之后再按责任大小在内部分担、追偿。</w:t>
      </w:r>
    </w:p>
    <w:p>
      <w:pPr>
        <w:spacing w:before="80" w:after="40"/>
      </w:pPr>
      <w:r>
        <w:rPr>
          <w:rFonts w:ascii="Times New Roman" w:hAnsi="Times New Roman" w:eastAsia="仿宋"/>
          <w:b/>
          <w:sz w:val="22"/>
        </w:rPr>
        <w:t>Q：会计师说函证都是对方回的，自己被骗了，能免责吗？</w:t>
      </w:r>
    </w:p>
    <w:p>
      <w:pPr>
        <w:spacing w:after="100"/>
      </w:pPr>
      <w:r>
        <w:rPr>
          <w:rFonts w:ascii="Times New Roman" w:hAnsi="Times New Roman" w:eastAsia="仿宋"/>
          <w:b w:val="0"/>
          <w:sz w:val="22"/>
        </w:rPr>
        <w:t>有可能，《若干规定》第十九条第二项就是为此设计的。但前提是保持了必要的职业谨慎：函证是否由审计人员独立寄发和收回、回函有无异常、与其他证据能否印证，都会被审查。</w:t>
      </w:r>
    </w:p>
    <w:p>
      <w:pPr>
        <w:spacing w:before="80" w:after="40"/>
      </w:pPr>
      <w:r>
        <w:rPr>
          <w:rFonts w:ascii="Times New Roman" w:hAnsi="Times New Roman" w:eastAsia="仿宋"/>
          <w:b/>
          <w:sz w:val="22"/>
        </w:rPr>
        <w:t>Q：律师不懂会计，财务造假和律师有什么关系？</w:t>
      </w:r>
    </w:p>
    <w:p>
      <w:pPr>
        <w:spacing w:after="100"/>
      </w:pPr>
      <w:r>
        <w:rPr>
          <w:rFonts w:ascii="Times New Roman" w:hAnsi="Times New Roman" w:eastAsia="仿宋"/>
          <w:b w:val="0"/>
          <w:sz w:val="22"/>
        </w:rPr>
        <w:t>律师对财务数据负普通人一般的注意义务，对法律事项负特别注意义务（管理办法第十五条）。在首发业务中，其他机构的专业意见存在重大异常、前后重大矛盾、重大差异的，律师不得主张对其的合理信赖（法律类第 2 号第四条）；其他业务可以参照这一精神把握。</w:t>
      </w:r>
    </w:p>
    <w:p>
      <w:pPr>
        <w:spacing w:before="80" w:after="40"/>
      </w:pPr>
      <w:r>
        <w:rPr>
          <w:rFonts w:ascii="Times New Roman" w:hAnsi="Times New Roman" w:eastAsia="仿宋"/>
          <w:b/>
          <w:sz w:val="22"/>
        </w:rPr>
        <w:t>Q：新三板、北交所项目的审计标准会更宽松吗？</w:t>
      </w:r>
    </w:p>
    <w:p>
      <w:pPr>
        <w:spacing w:after="100"/>
      </w:pPr>
      <w:r>
        <w:rPr>
          <w:rFonts w:ascii="Times New Roman" w:hAnsi="Times New Roman" w:eastAsia="仿宋"/>
          <w:b w:val="0"/>
          <w:sz w:val="22"/>
        </w:rPr>
        <w:t>就内部控制审计而言，丁宇翔文主张对中小企业不宜套用与大中型上市公司相同的标准。这属于该文作者的观点；财务报表审计本身的准则要求，并不因企业规模而降低。</w:t>
      </w:r>
    </w:p>
    <w:p>
      <w:pPr>
        <w:spacing w:before="160" w:after="80"/>
      </w:pPr>
      <w:r>
        <w:rPr>
          <w:rFonts w:ascii="Times New Roman" w:hAnsi="Times New Roman" w:eastAsia="仿宋"/>
          <w:b/>
          <w:sz w:val="26"/>
        </w:rPr>
        <w:t>本篇主要依据</w:t>
      </w:r>
    </w:p>
    <w:p>
      <w:pPr>
        <w:spacing w:after="100"/>
      </w:pPr>
      <w:r>
        <w:rPr>
          <w:rFonts w:ascii="Times New Roman" w:hAnsi="Times New Roman" w:eastAsia="仿宋"/>
          <w:b w:val="0"/>
          <w:sz w:val="22"/>
        </w:rPr>
        <w:t>· 《中华人民共和国证券法》（2019 修订）第八十五条、第一百六十三条</w:t>
      </w:r>
    </w:p>
    <w:p>
      <w:pPr>
        <w:spacing w:after="100"/>
      </w:pPr>
      <w:r>
        <w:rPr>
          <w:rFonts w:ascii="Times New Roman" w:hAnsi="Times New Roman" w:eastAsia="仿宋"/>
          <w:b w:val="0"/>
          <w:sz w:val="22"/>
        </w:rPr>
        <w:t>· 《最高人民法院关于审理证券市场虚假陈述侵权民事赔偿案件的若干规定》（法释〔2022〕2 号）第十三条、第十七条、第十八条、第十九条、第二十三条、第三十五条</w:t>
      </w:r>
    </w:p>
    <w:p>
      <w:pPr>
        <w:spacing w:after="100"/>
      </w:pPr>
      <w:r>
        <w:rPr>
          <w:rFonts w:ascii="Times New Roman" w:hAnsi="Times New Roman" w:eastAsia="仿宋"/>
          <w:b w:val="0"/>
          <w:sz w:val="22"/>
        </w:rPr>
        <w:t>· 《最高人民法院关于审理涉及会计师事务所在审计业务活动中民事侵权赔偿案件的若干规定》（法释〔2007〕12 号）第六条、第十条</w:t>
      </w:r>
    </w:p>
    <w:p>
      <w:pPr>
        <w:spacing w:after="100"/>
      </w:pPr>
      <w:r>
        <w:rPr>
          <w:rFonts w:ascii="Times New Roman" w:hAnsi="Times New Roman" w:eastAsia="仿宋"/>
          <w:b w:val="0"/>
          <w:sz w:val="22"/>
        </w:rPr>
        <w:t>· 《全国法院审理债券纠纷案件座谈会纪要》（法〔2020〕185 号）第六部分</w:t>
      </w:r>
    </w:p>
    <w:p>
      <w:pPr>
        <w:spacing w:after="100"/>
      </w:pPr>
      <w:r>
        <w:rPr>
          <w:rFonts w:ascii="Times New Roman" w:hAnsi="Times New Roman" w:eastAsia="仿宋"/>
          <w:b w:val="0"/>
          <w:sz w:val="22"/>
        </w:rPr>
        <w:t>· 《律师事务所从事证券法律业务管理办法》（中国证券监督管理委员会、中华人民共和国司法部令第 223 号，2023）第十五条；《监管规则适用指引——法律类第 2 号：律师事务所从事首次公开发行股票并上市法律业务执业细则》第四条</w:t>
      </w:r>
    </w:p>
    <w:p>
      <w:pPr>
        <w:spacing w:after="100"/>
      </w:pPr>
      <w:r>
        <w:rPr>
          <w:rFonts w:ascii="Times New Roman" w:hAnsi="Times New Roman" w:eastAsia="仿宋"/>
          <w:b w:val="0"/>
          <w:sz w:val="22"/>
        </w:rPr>
        <w:t>· 最高人民法院对十三届全国人大五次会议第 2336 号建议的答复（2022 年 9 月 14 日）</w:t>
      </w:r>
    </w:p>
    <w:p>
      <w:pPr>
        <w:spacing w:after="100"/>
      </w:pPr>
      <w:r>
        <w:rPr>
          <w:rFonts w:ascii="Times New Roman" w:hAnsi="Times New Roman" w:eastAsia="仿宋"/>
          <w:b w:val="0"/>
          <w:sz w:val="22"/>
        </w:rPr>
        <w:t>· （2020）粤 01 民初 2171 号；（2020）沪民终 666 号；五洋建设债券案浙江省高级人民法院二审判决（2021 年 9 月 22 日；北大法宝案号识别为（2021）浙民终 515 号，另有公开评述记为（2021）浙民终 389 号，本文未取得判决原文核对）</w:t>
      </w:r>
    </w:p>
    <w:p>
      <w:pPr>
        <w:spacing w:after="100"/>
      </w:pPr>
      <w:r>
        <w:rPr>
          <w:rFonts w:ascii="Times New Roman" w:hAnsi="Times New Roman" w:eastAsia="仿宋"/>
          <w:b w:val="0"/>
          <w:sz w:val="22"/>
        </w:rPr>
        <w:t>· 最高人民法院、中国证券监督管理委员会《关于严格公正执法司法服务保障资本市场高质量发展的指导意见》（法发〔2025〕9 号，2025 年 5 月 15 日印发）第 6 条</w:t>
      </w:r>
    </w:p>
    <w:p>
      <w:pPr>
        <w:spacing w:after="100"/>
      </w:pPr>
      <w:r>
        <w:rPr>
          <w:rFonts w:ascii="Times New Roman" w:hAnsi="Times New Roman" w:eastAsia="仿宋"/>
          <w:b w:val="0"/>
          <w:sz w:val="22"/>
        </w:rPr>
        <w:t>· 丁宇翔：《证券市场财务性虚假陈述的典型形态及其侵权责任认定研究》，载《法律适用》2026 年第 10 期（文中所述该文观点均为转述，系作者个人学术观点）</w:t>
      </w:r>
    </w:p>
    <w:p>
      <w:pPr>
        <w:spacing w:after="100"/>
      </w:pPr>
      <w:r>
        <w:rPr>
          <w:rFonts w:ascii="Times New Roman" w:hAnsi="Times New Roman" w:eastAsia="仿宋"/>
          <w:b w:val="0"/>
          <w:color w:val="333333"/>
          <w:sz w:val="21"/>
        </w:rPr>
        <w:t>【说明】本文为法律问题的研究与学习材料，免费提供，仅供参考学习之用，不构成对任何具体事项的法律意见。所引条文以写作时检索的现行有效版本为准，法律法规及监管口径可能变动，内容可能更新不及时或不准确。具体事项请咨询您的律师。</w:t>
      </w:r>
    </w:p>
    <w:sectPr w:rsidR="00FC693F" w:rsidRPr="0006063C" w:rsidSect="00034616">
      <w:pgSz w:w="12240" w:h="15840"/>
      <w:pgMar w:top="1417" w:right="1587" w:bottom="1417" w:left="158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财务造假民事责任备忘录</dc:title>
  <dc:subject/>
  <dc:creator>谭棉花律师法律文书库</dc:creator>
  <cp:keywords/>
  <dc:description>generated by python-docx</dc:description>
  <cp:lastModifiedBy>谭棉花律师法律文书库</cp:lastModifiedBy>
  <cp:revision>1</cp:revision>
  <dcterms:created xsi:type="dcterms:W3CDTF">2013-12-23T23:15:00Z</dcterms:created>
  <dcterms:modified xsi:type="dcterms:W3CDTF">2013-12-23T23:15:00Z</dcterms:modified>
  <cp:category/>
</cp:coreProperties>
</file>