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80"/>
        <w:jc w:val="center"/>
      </w:pPr>
      <w:r>
        <w:rPr>
          <w:rFonts w:ascii="Times New Roman" w:hAnsi="Times New Roman" w:eastAsia="仿宋"/>
          <w:b/>
          <w:sz w:val="38"/>
        </w:rPr>
        <w:t>民间借贷与股权代持混合纠纷备忘录</w:t>
      </w:r>
    </w:p>
    <w:p>
      <w:pPr>
        <w:spacing w:after="320"/>
        <w:jc w:val="center"/>
      </w:pPr>
      <w:r>
        <w:rPr>
          <w:rFonts w:ascii="Times New Roman" w:hAnsi="Times New Roman" w:eastAsia="仿宋"/>
          <w:b/>
          <w:sz w:val="24"/>
        </w:rPr>
        <w:t>——两种钱的切分 · 代持效力与清算 · 会议纪要与诉讼时效（三篇合订）</w:t>
      </w:r>
    </w:p>
    <w:p>
      <w:pPr>
        <w:spacing w:after="40"/>
        <w:jc w:val="center"/>
      </w:pPr>
      <w:r>
        <w:rPr>
          <w:rFonts w:ascii="Times New Roman" w:hAnsi="Times New Roman" w:eastAsia="仿宋"/>
          <w:b w:val="0"/>
          <w:color w:val="555555"/>
          <w:sz w:val="22"/>
        </w:rPr>
        <w:t>谭棉花律师法律文书库 · 研究专栏</w:t>
      </w:r>
    </w:p>
    <w:p>
      <w:pPr>
        <w:spacing w:after="100"/>
        <w:jc w:val="center"/>
      </w:pPr>
      <w:r>
        <w:rPr>
          <w:rFonts w:ascii="Times New Roman" w:hAnsi="Times New Roman" w:eastAsia="仿宋"/>
          <w:b w:val="0"/>
          <w:color w:val="555555"/>
          <w:sz w:val="20"/>
        </w:rPr>
        <w:t>本备忘录为网站三篇系列文章的合订版，免费提供，仅供参考学习之用，不构成对任何具体事项的法律意见。所引条文以写作时检索的现行有效版本为准。</w:t>
      </w:r>
    </w:p>
    <w:p/>
    <w:p>
      <w:pPr>
        <w:spacing w:before="360" w:after="120"/>
      </w:pPr>
      <w:r>
        <w:rPr>
          <w:rFonts w:ascii="Times New Roman" w:hAnsi="Times New Roman" w:eastAsia="仿宋"/>
          <w:b/>
          <w:sz w:val="30"/>
        </w:rPr>
        <w:t>第一篇　一份合同，两种钱：法院怎么切开「借款」与「入股款」。</w:t>
      </w:r>
    </w:p>
    <w:p>
      <w:pPr>
        <w:spacing w:before="160" w:after="80"/>
      </w:pPr>
      <w:r>
        <w:rPr>
          <w:rFonts w:ascii="Times New Roman" w:hAnsi="Times New Roman" w:eastAsia="仿宋"/>
          <w:b/>
          <w:sz w:val="26"/>
        </w:rPr>
        <w:t>一、先讲一个情景</w:t>
      </w:r>
    </w:p>
    <w:p>
      <w:pPr>
        <w:spacing w:after="100"/>
      </w:pPr>
      <w:r>
        <w:rPr>
          <w:rFonts w:ascii="Times New Roman" w:hAnsi="Times New Roman" w:eastAsia="仿宋"/>
          <w:b w:val="0"/>
          <w:sz w:val="22"/>
        </w:rPr>
        <w:t>老板资金周转不开，找你借钱。谈着谈着话锋一转：「反正你也看好公司，不如顺便入一点股。」最后签下来的是一份《借款协议》——为便于说明，设协议项下你一共出了 1000 万元：其中 600 万元写明分期归还、逾期计息；另外 400 万元写明不再偿还，用于按公司增发条件认购股份，由你自行办理持股手续，股价涨跌与老板无关，也不计利息。（本情景纯属示意，人物与数字均为虚构。）</w:t>
      </w:r>
    </w:p>
    <w:p>
      <w:pPr>
        <w:spacing w:after="100"/>
      </w:pPr>
      <w:r>
        <w:rPr>
          <w:rFonts w:ascii="Times New Roman" w:hAnsi="Times New Roman" w:eastAsia="仿宋"/>
          <w:b w:val="0"/>
          <w:sz w:val="22"/>
        </w:rPr>
        <w:t>几年后合作生变，你去要钱：1000 万本金加利息。老板说：600 万我陆续还过了，400 万当初说好不还的。你说：都写在《借款协议》里，都是借款。谁对？</w:t>
      </w:r>
    </w:p>
    <w:p>
      <w:pPr>
        <w:spacing w:before="160" w:after="80"/>
      </w:pPr>
      <w:r>
        <w:rPr>
          <w:rFonts w:ascii="Times New Roman" w:hAnsi="Times New Roman" w:eastAsia="仿宋"/>
          <w:b/>
          <w:sz w:val="26"/>
        </w:rPr>
        <w:t>二、法院怎么切：先看约定，再看履行</w:t>
      </w:r>
    </w:p>
    <w:p>
      <w:pPr>
        <w:spacing w:after="100"/>
      </w:pPr>
      <w:r>
        <w:rPr>
          <w:rFonts w:ascii="Times New Roman" w:hAnsi="Times New Roman" w:eastAsia="仿宋"/>
          <w:b w:val="0"/>
          <w:sz w:val="22"/>
        </w:rPr>
        <w:t>实务中常见的处理思路是：不因为都写进了《借款协议》，就都按借款处理。法院会把合同条款逐项拆开看它的实质——</w:t>
      </w:r>
    </w:p>
    <w:p>
      <w:pPr>
        <w:spacing w:after="100"/>
      </w:pPr>
      <w:r>
        <w:rPr>
          <w:rFonts w:ascii="Times New Roman" w:hAnsi="Times New Roman" w:eastAsia="仿宋"/>
          <w:b w:val="0"/>
          <w:sz w:val="22"/>
        </w:rPr>
        <w:t>· 600 万那部分：限期分期偿还＋逾期计息，是典型的「还本付息」结构，成立民间借贷关系；</w:t>
      </w:r>
    </w:p>
    <w:p>
      <w:pPr>
        <w:spacing w:after="100"/>
      </w:pPr>
      <w:r>
        <w:rPr>
          <w:rFonts w:ascii="Times New Roman" w:hAnsi="Times New Roman" w:eastAsia="仿宋"/>
          <w:b w:val="0"/>
          <w:sz w:val="22"/>
        </w:rPr>
        <w:t>· 400 万那部分：明确不再偿还＋用于认购股份＋涨跌自负＋不计利息，是典型的「共担风险」结构，属于股权性质的投资款。</w:t>
      </w:r>
    </w:p>
    <w:p>
      <w:pPr>
        <w:spacing w:after="100"/>
      </w:pPr>
      <w:r>
        <w:rPr>
          <w:rFonts w:ascii="Times New Roman" w:hAnsi="Times New Roman" w:eastAsia="仿宋"/>
          <w:b w:val="0"/>
          <w:sz w:val="22"/>
        </w:rPr>
        <w:t>条款之外还要看双方实际怎么履行：借款部分有没有按期还、怎么还的；投资部分有没有去办持股手续、有没有任何一方把它当成「要还的钱」催讨过。约定与履行相互印证，定性才立得住。</w:t>
      </w:r>
    </w:p>
    <w:p>
      <w:pPr>
        <w:spacing w:after="100"/>
      </w:pPr>
      <w:r>
        <w:rPr>
          <w:rFonts w:ascii="Times New Roman" w:hAnsi="Times New Roman" w:eastAsia="仿宋"/>
          <w:b w:val="0"/>
          <w:color w:val="333333"/>
          <w:sz w:val="21"/>
        </w:rPr>
        <w:t>【要点】借贷的骨架是还本付息，投资的骨架是共担风险。合同叫什么名字不重要，钱怎么走、风险谁来担，才决定它是什么钱。</w:t>
      </w:r>
    </w:p>
    <w:tbl>
      <w:tblPr>
        <w:tblStyle w:val="TableGrid"/>
        <w:tblW w:type="auto" w:w="0"/>
        <w:tblLook w:firstColumn="1" w:firstRow="1" w:lastColumn="0" w:lastRow="0" w:noHBand="0" w:noVBand="1" w:val="04A0"/>
      </w:tblPr>
      <w:tblGrid>
        <w:gridCol w:w="3022"/>
        <w:gridCol w:w="3022"/>
        <w:gridCol w:w="3022"/>
      </w:tblGrid>
      <w:tr>
        <w:tc>
          <w:tcPr>
            <w:tcW w:type="dxa" w:w="3022"/>
          </w:tcPr>
          <w:p>
            <w:r/>
            <w:r>
              <w:rPr>
                <w:rFonts w:ascii="Times New Roman" w:hAnsi="Times New Roman" w:eastAsia="仿宋"/>
                <w:b/>
                <w:sz w:val="20"/>
              </w:rPr>
            </w:r>
          </w:p>
        </w:tc>
        <w:tc>
          <w:tcPr>
            <w:tcW w:type="dxa" w:w="3022"/>
          </w:tcPr>
          <w:p>
            <w:r/>
            <w:r>
              <w:rPr>
                <w:rFonts w:ascii="Times New Roman" w:hAnsi="Times New Roman" w:eastAsia="仿宋"/>
                <w:b/>
                <w:sz w:val="20"/>
              </w:rPr>
              <w:t>借款的那部分</w:t>
            </w:r>
          </w:p>
        </w:tc>
        <w:tc>
          <w:tcPr>
            <w:tcW w:type="dxa" w:w="3022"/>
          </w:tcPr>
          <w:p>
            <w:r/>
            <w:r>
              <w:rPr>
                <w:rFonts w:ascii="Times New Roman" w:hAnsi="Times New Roman" w:eastAsia="仿宋"/>
                <w:b/>
                <w:sz w:val="20"/>
              </w:rPr>
              <w:t>入股的那部分</w:t>
            </w:r>
          </w:p>
        </w:tc>
      </w:tr>
      <w:tr>
        <w:tc>
          <w:tcPr>
            <w:tcW w:type="dxa" w:w="3022"/>
          </w:tcPr>
          <w:p>
            <w:r/>
            <w:r>
              <w:rPr>
                <w:rFonts w:ascii="Times New Roman" w:hAnsi="Times New Roman" w:eastAsia="仿宋"/>
                <w:b w:val="0"/>
                <w:sz w:val="20"/>
              </w:rPr>
              <w:t>核心约定</w:t>
            </w:r>
          </w:p>
        </w:tc>
        <w:tc>
          <w:tcPr>
            <w:tcW w:type="dxa" w:w="3022"/>
          </w:tcPr>
          <w:p>
            <w:r/>
            <w:r>
              <w:rPr>
                <w:rFonts w:ascii="Times New Roman" w:hAnsi="Times New Roman" w:eastAsia="仿宋"/>
                <w:b w:val="0"/>
                <w:sz w:val="20"/>
              </w:rPr>
              <w:t>限期偿还、逾期计息</w:t>
            </w:r>
          </w:p>
        </w:tc>
        <w:tc>
          <w:tcPr>
            <w:tcW w:type="dxa" w:w="3022"/>
          </w:tcPr>
          <w:p>
            <w:r/>
            <w:r>
              <w:rPr>
                <w:rFonts w:ascii="Times New Roman" w:hAnsi="Times New Roman" w:eastAsia="仿宋"/>
                <w:b w:val="0"/>
                <w:sz w:val="20"/>
              </w:rPr>
              <w:t>不再偿还、用于认购股份</w:t>
            </w:r>
          </w:p>
        </w:tc>
      </w:tr>
      <w:tr>
        <w:tc>
          <w:tcPr>
            <w:tcW w:type="dxa" w:w="3022"/>
          </w:tcPr>
          <w:p>
            <w:r/>
            <w:r>
              <w:rPr>
                <w:rFonts w:ascii="Times New Roman" w:hAnsi="Times New Roman" w:eastAsia="仿宋"/>
                <w:b w:val="0"/>
                <w:sz w:val="20"/>
              </w:rPr>
              <w:t>本金</w:t>
            </w:r>
          </w:p>
        </w:tc>
        <w:tc>
          <w:tcPr>
            <w:tcW w:type="dxa" w:w="3022"/>
          </w:tcPr>
          <w:p>
            <w:r/>
            <w:r>
              <w:rPr>
                <w:rFonts w:ascii="Times New Roman" w:hAnsi="Times New Roman" w:eastAsia="仿宋"/>
                <w:b w:val="0"/>
                <w:sz w:val="20"/>
              </w:rPr>
              <w:t>要还</w:t>
            </w:r>
          </w:p>
        </w:tc>
        <w:tc>
          <w:tcPr>
            <w:tcW w:type="dxa" w:w="3022"/>
          </w:tcPr>
          <w:p>
            <w:r/>
            <w:r>
              <w:rPr>
                <w:rFonts w:ascii="Times New Roman" w:hAnsi="Times New Roman" w:eastAsia="仿宋"/>
                <w:b w:val="0"/>
                <w:sz w:val="20"/>
              </w:rPr>
              <w:t>不还（换成了股份）</w:t>
            </w:r>
          </w:p>
        </w:tc>
      </w:tr>
      <w:tr>
        <w:tc>
          <w:tcPr>
            <w:tcW w:type="dxa" w:w="3022"/>
          </w:tcPr>
          <w:p>
            <w:r/>
            <w:r>
              <w:rPr>
                <w:rFonts w:ascii="Times New Roman" w:hAnsi="Times New Roman" w:eastAsia="仿宋"/>
                <w:b w:val="0"/>
                <w:sz w:val="20"/>
              </w:rPr>
              <w:t>收益形态</w:t>
            </w:r>
          </w:p>
        </w:tc>
        <w:tc>
          <w:tcPr>
            <w:tcW w:type="dxa" w:w="3022"/>
          </w:tcPr>
          <w:p>
            <w:r/>
            <w:r>
              <w:rPr>
                <w:rFonts w:ascii="Times New Roman" w:hAnsi="Times New Roman" w:eastAsia="仿宋"/>
                <w:b w:val="0"/>
                <w:sz w:val="20"/>
              </w:rPr>
              <w:t>利息，受 LPR 四倍上限约束</w:t>
            </w:r>
          </w:p>
        </w:tc>
        <w:tc>
          <w:tcPr>
            <w:tcW w:type="dxa" w:w="3022"/>
          </w:tcPr>
          <w:p>
            <w:r/>
            <w:r>
              <w:rPr>
                <w:rFonts w:ascii="Times New Roman" w:hAnsi="Times New Roman" w:eastAsia="仿宋"/>
                <w:b w:val="0"/>
                <w:sz w:val="20"/>
              </w:rPr>
              <w:t>分红与增值，也可能亏损</w:t>
            </w:r>
          </w:p>
        </w:tc>
      </w:tr>
      <w:tr>
        <w:tc>
          <w:tcPr>
            <w:tcW w:type="dxa" w:w="3022"/>
          </w:tcPr>
          <w:p>
            <w:r/>
            <w:r>
              <w:rPr>
                <w:rFonts w:ascii="Times New Roman" w:hAnsi="Times New Roman" w:eastAsia="仿宋"/>
                <w:b w:val="0"/>
                <w:sz w:val="20"/>
              </w:rPr>
              <w:t>风险承担</w:t>
            </w:r>
          </w:p>
        </w:tc>
        <w:tc>
          <w:tcPr>
            <w:tcW w:type="dxa" w:w="3022"/>
          </w:tcPr>
          <w:p>
            <w:r/>
            <w:r>
              <w:rPr>
                <w:rFonts w:ascii="Times New Roman" w:hAnsi="Times New Roman" w:eastAsia="仿宋"/>
                <w:b w:val="0"/>
                <w:sz w:val="20"/>
              </w:rPr>
              <w:t>借款人的信用风险</w:t>
            </w:r>
          </w:p>
        </w:tc>
        <w:tc>
          <w:tcPr>
            <w:tcW w:type="dxa" w:w="3022"/>
          </w:tcPr>
          <w:p>
            <w:r/>
            <w:r>
              <w:rPr>
                <w:rFonts w:ascii="Times New Roman" w:hAnsi="Times New Roman" w:eastAsia="仿宋"/>
                <w:b w:val="0"/>
                <w:sz w:val="20"/>
              </w:rPr>
              <w:t>股价涨跌、经营风险自担</w:t>
            </w:r>
          </w:p>
        </w:tc>
      </w:tr>
      <w:tr>
        <w:tc>
          <w:tcPr>
            <w:tcW w:type="dxa" w:w="3022"/>
          </w:tcPr>
          <w:p>
            <w:r/>
            <w:r>
              <w:rPr>
                <w:rFonts w:ascii="Times New Roman" w:hAnsi="Times New Roman" w:eastAsia="仿宋"/>
                <w:b w:val="0"/>
                <w:sz w:val="20"/>
              </w:rPr>
              <w:t>法律定性</w:t>
            </w:r>
          </w:p>
        </w:tc>
        <w:tc>
          <w:tcPr>
            <w:tcW w:type="dxa" w:w="3022"/>
          </w:tcPr>
          <w:p>
            <w:r/>
            <w:r>
              <w:rPr>
                <w:rFonts w:ascii="Times New Roman" w:hAnsi="Times New Roman" w:eastAsia="仿宋"/>
                <w:b w:val="0"/>
                <w:sz w:val="20"/>
              </w:rPr>
              <w:t>民间借贷</w:t>
            </w:r>
          </w:p>
        </w:tc>
        <w:tc>
          <w:tcPr>
            <w:tcW w:type="dxa" w:w="3022"/>
          </w:tcPr>
          <w:p>
            <w:r/>
            <w:r>
              <w:rPr>
                <w:rFonts w:ascii="Times New Roman" w:hAnsi="Times New Roman" w:eastAsia="仿宋"/>
                <w:b w:val="0"/>
                <w:sz w:val="20"/>
              </w:rPr>
              <w:t>股权性投资（常伴生代持问题）</w:t>
            </w:r>
          </w:p>
        </w:tc>
      </w:tr>
      <w:tr>
        <w:tc>
          <w:tcPr>
            <w:tcW w:type="dxa" w:w="3022"/>
          </w:tcPr>
          <w:p>
            <w:r/>
            <w:r>
              <w:rPr>
                <w:rFonts w:ascii="Times New Roman" w:hAnsi="Times New Roman" w:eastAsia="仿宋"/>
                <w:b w:val="0"/>
                <w:sz w:val="20"/>
              </w:rPr>
              <w:t>要不回来时</w:t>
            </w:r>
          </w:p>
        </w:tc>
        <w:tc>
          <w:tcPr>
            <w:tcW w:type="dxa" w:w="3022"/>
          </w:tcPr>
          <w:p>
            <w:r/>
            <w:r>
              <w:rPr>
                <w:rFonts w:ascii="Times New Roman" w:hAnsi="Times New Roman" w:eastAsia="仿宋"/>
                <w:b w:val="0"/>
                <w:sz w:val="20"/>
              </w:rPr>
              <w:t>主张还本付息</w:t>
            </w:r>
          </w:p>
        </w:tc>
        <w:tc>
          <w:tcPr>
            <w:tcW w:type="dxa" w:w="3022"/>
          </w:tcPr>
          <w:p>
            <w:r/>
            <w:r>
              <w:rPr>
                <w:rFonts w:ascii="Times New Roman" w:hAnsi="Times New Roman" w:eastAsia="仿宋"/>
                <w:b w:val="0"/>
                <w:sz w:val="20"/>
              </w:rPr>
              <w:t>不能按借款主张，须走投资退出路径</w:t>
            </w:r>
          </w:p>
        </w:tc>
      </w:tr>
    </w:tbl>
    <w:p>
      <w:pPr>
        <w:spacing w:after="40"/>
      </w:pPr>
    </w:p>
    <w:p>
      <w:pPr>
        <w:spacing w:after="100"/>
      </w:pPr>
      <w:r>
        <w:rPr>
          <w:rFonts w:ascii="Times New Roman" w:hAnsi="Times New Roman" w:eastAsia="仿宋"/>
          <w:b w:val="0"/>
          <w:color w:val="333333"/>
          <w:sz w:val="21"/>
        </w:rPr>
        <w:t>【说明】一个必须如实交代的空白：现行法律和司法解释里，检索不到一条直接规定「同一份合同混装借款与投资时如何切分」的条文。上面的切分方法，是法院综合合同条款解释与实际履行情况作出的认定思路，本文写作时也未检索到就此问题的统一裁判规则。所以更不要指望合同写得含糊时，法院会「自动」朝对你有利的方向切。</w:t>
      </w:r>
    </w:p>
    <w:p>
      <w:pPr>
        <w:spacing w:before="160" w:after="80"/>
      </w:pPr>
      <w:r>
        <w:rPr>
          <w:rFonts w:ascii="Times New Roman" w:hAnsi="Times New Roman" w:eastAsia="仿宋"/>
          <w:b/>
          <w:sz w:val="26"/>
        </w:rPr>
        <w:t>三、「名为借贷实为投资」，以及反过来</w:t>
      </w:r>
    </w:p>
    <w:p>
      <w:pPr>
        <w:spacing w:after="100"/>
      </w:pPr>
      <w:r>
        <w:rPr>
          <w:rFonts w:ascii="Times New Roman" w:hAnsi="Times New Roman" w:eastAsia="仿宋"/>
          <w:b w:val="0"/>
          <w:sz w:val="22"/>
        </w:rPr>
        <w:t>切分的另一面是识别伪装，两个方向都存在：</w:t>
      </w:r>
    </w:p>
    <w:p>
      <w:pPr>
        <w:spacing w:after="100"/>
      </w:pPr>
      <w:r>
        <w:rPr>
          <w:rFonts w:ascii="Times New Roman" w:hAnsi="Times New Roman" w:eastAsia="仿宋"/>
          <w:b w:val="0"/>
          <w:sz w:val="22"/>
        </w:rPr>
        <w:t>名为投资实为借贷——文件上写的是「入股」，但约定到期返还本金、按固定标准支付回报、不参与经营也不承担亏损。「共担风险」这个骨架不存在，实务中多按借贷实质处理，所谓「投资收益」落回利息规则，同样受利率上限约束。</w:t>
      </w:r>
    </w:p>
    <w:p>
      <w:pPr>
        <w:spacing w:after="100"/>
      </w:pPr>
      <w:r>
        <w:rPr>
          <w:rFonts w:ascii="Times New Roman" w:hAnsi="Times New Roman" w:eastAsia="仿宋"/>
          <w:b w:val="0"/>
          <w:sz w:val="22"/>
        </w:rPr>
        <w:t>名为借贷实为投资——写的是「借款」，但明确不再偿还、换取股份、自担涨跌，就像情景里的 400 万。「还本付息」的骨架不存在，这部分钱就脱离借贷保护：不能主张还本付息，分红和增值要另找请求权基础，而那条路走不走得通，取决于持股安排本身的效力（第二篇细讲）。</w:t>
      </w:r>
    </w:p>
    <w:p>
      <w:pPr>
        <w:spacing w:after="100"/>
      </w:pPr>
      <w:r>
        <w:rPr>
          <w:rFonts w:ascii="Times New Roman" w:hAnsi="Times New Roman" w:eastAsia="仿宋"/>
          <w:b w:val="0"/>
          <w:sz w:val="22"/>
        </w:rPr>
        <w:t>举证上没有捷径：谁主张某笔钱是借款（或是投资），谁就要对相应事实提供证据；未能证明的，由负有举证证明责任的一方承担不利后果——这是《民诉法解释》第九十条的一般规则。</w:t>
      </w:r>
    </w:p>
    <w:p>
      <w:pPr>
        <w:spacing w:before="160" w:after="80"/>
      </w:pPr>
      <w:r>
        <w:rPr>
          <w:rFonts w:ascii="Times New Roman" w:hAnsi="Times New Roman" w:eastAsia="仿宋"/>
          <w:b/>
          <w:sz w:val="26"/>
        </w:rPr>
        <w:t>四、借款那部分：一直拖、一直收，利息会「收没」吗</w:t>
      </w:r>
    </w:p>
    <w:p>
      <w:pPr>
        <w:spacing w:after="100"/>
      </w:pPr>
      <w:r>
        <w:rPr>
          <w:rFonts w:ascii="Times New Roman" w:hAnsi="Times New Roman" w:eastAsia="仿宋"/>
          <w:b w:val="0"/>
          <w:sz w:val="22"/>
        </w:rPr>
        <w:t>混合安排里借款部分常见的实况是：借款人分期迟延偿还，出借人每次都收下，聊天里确认「收到」，但从没提过逾期利息。等到最后翻脸清算，出借人想把历次还款按「先息后本」冲抵，再主张一大笔逾期利息——能行吗？</w:t>
      </w:r>
    </w:p>
    <w:p>
      <w:pPr>
        <w:spacing w:after="100"/>
      </w:pPr>
      <w:r>
        <w:rPr>
          <w:rFonts w:ascii="Times New Roman" w:hAnsi="Times New Roman" w:eastAsia="仿宋"/>
          <w:b w:val="0"/>
          <w:sz w:val="22"/>
        </w:rPr>
        <w:t>实务中有裁判观点认为：出借人长期接受迟延还款、在往来记录中从未主张逾期责任的，历次还款会被全额认定为归还本金，不再适用先息后本的冲抵方式。</w:t>
      </w:r>
    </w:p>
    <w:p>
      <w:pPr>
        <w:spacing w:after="100"/>
      </w:pPr>
      <w:r>
        <w:rPr>
          <w:rFonts w:ascii="Times New Roman" w:hAnsi="Times New Roman" w:eastAsia="仿宋"/>
          <w:b w:val="0"/>
          <w:color w:val="333333"/>
          <w:sz w:val="21"/>
        </w:rPr>
        <w:t>【提醒】注意，这是基于具体往来记录的个案事实认定，不能反过来当普遍规则用——在无相反约定时，还款的抵充顺序通常恰恰是先息后本。它提醒的是风险：你在履行过程中长期沉默，法院可能把你的沉默解读成「只要本金」。</w:t>
      </w:r>
    </w:p>
    <w:p>
      <w:pPr>
        <w:spacing w:after="100"/>
      </w:pPr>
      <w:r>
        <w:rPr>
          <w:rFonts w:ascii="Times New Roman" w:hAnsi="Times New Roman" w:eastAsia="仿宋"/>
          <w:b w:val="0"/>
          <w:sz w:val="22"/>
        </w:rPr>
        <w:t>但本金收完，不等于逾期利息就没了。只要出借人从未明确表示放弃，双方事后达成的结算文件（对账单、还款协议、会议纪要）可以重新约定逾期利息标准；有裁判观点认为，该标准不超过法定上限、按实际还款时点计算又不明显超过出借人所受损失的，可以按结算文件判付。</w:t>
      </w:r>
    </w:p>
    <w:p>
      <w:pPr>
        <w:spacing w:after="100"/>
      </w:pPr>
      <w:r>
        <w:rPr>
          <w:rFonts w:ascii="Times New Roman" w:hAnsi="Times New Roman" w:eastAsia="仿宋"/>
          <w:b w:val="0"/>
          <w:sz w:val="22"/>
        </w:rPr>
        <w:t>所以借款部分的操作要点是两句话：接受迟延还款时，书面保留逾期利息主张；最终清算时，把利息标准写进结算文件。</w:t>
      </w:r>
    </w:p>
    <w:p>
      <w:pPr>
        <w:spacing w:before="160" w:after="80"/>
      </w:pPr>
      <w:r>
        <w:rPr>
          <w:rFonts w:ascii="Times New Roman" w:hAnsi="Times New Roman" w:eastAsia="仿宋"/>
          <w:b/>
          <w:sz w:val="26"/>
        </w:rPr>
        <w:t>五、利率的天花板：锚定「合同成立时」</w:t>
      </w:r>
    </w:p>
    <w:p>
      <w:pPr>
        <w:spacing w:after="100"/>
      </w:pPr>
      <w:r>
        <w:rPr>
          <w:rFonts w:ascii="Times New Roman" w:hAnsi="Times New Roman" w:eastAsia="仿宋"/>
          <w:b w:val="0"/>
          <w:color w:val="333333"/>
          <w:sz w:val="21"/>
        </w:rPr>
        <w:t>【要点】出借人请求借款人按照合同约定利率支付利息的，人民法院应予支持，但是双方约定的利率超过合同成立时一年期贷款市场报价利率四倍的除外。——《民间借贷规定》第二十五条第一款</w:t>
      </w:r>
    </w:p>
    <w:p>
      <w:pPr>
        <w:spacing w:after="100"/>
      </w:pPr>
      <w:r>
        <w:rPr>
          <w:rFonts w:ascii="Times New Roman" w:hAnsi="Times New Roman" w:eastAsia="仿宋"/>
          <w:b w:val="0"/>
          <w:sz w:val="22"/>
        </w:rPr>
        <w:t>两个容易写错的地方：</w:t>
      </w:r>
    </w:p>
    <w:p>
      <w:pPr>
        <w:spacing w:after="100"/>
      </w:pPr>
      <w:r>
        <w:rPr>
          <w:rFonts w:ascii="Times New Roman" w:hAnsi="Times New Roman" w:eastAsia="仿宋"/>
          <w:b w:val="0"/>
          <w:sz w:val="22"/>
        </w:rPr>
        <w:t>· 锚点是「合同成立时」的一年期 LPR，不是起诉时，也不是逾期发生时。LPR 每月发布、会变动，锚错时点，上限就算错了。</w:t>
      </w:r>
    </w:p>
    <w:p>
      <w:pPr>
        <w:spacing w:after="100"/>
      </w:pPr>
      <w:r>
        <w:rPr>
          <w:rFonts w:ascii="Times New Roman" w:hAnsi="Times New Roman" w:eastAsia="仿宋"/>
          <w:b w:val="0"/>
          <w:sz w:val="22"/>
        </w:rPr>
        <w:t>· 这套上限只适用于民间借贷，持牌金融机构的放贷不适用本规定。</w:t>
      </w:r>
    </w:p>
    <w:p>
      <w:pPr>
        <w:spacing w:after="100"/>
      </w:pPr>
      <w:r>
        <w:rPr>
          <w:rFonts w:ascii="Times New Roman" w:hAnsi="Times New Roman" w:eastAsia="仿宋"/>
          <w:b w:val="0"/>
          <w:sz w:val="22"/>
        </w:rPr>
        <w:t>逾期利率，第二十八条分三种情形：</w:t>
      </w:r>
    </w:p>
    <w:p>
      <w:pPr>
        <w:spacing w:after="100"/>
      </w:pPr>
      <w:r>
        <w:rPr>
          <w:rFonts w:ascii="Times New Roman" w:hAnsi="Times New Roman" w:eastAsia="仿宋"/>
          <w:b w:val="0"/>
          <w:sz w:val="22"/>
        </w:rPr>
        <w:t>· 约定了逾期利率：从约定，但以不超过合同成立时一年期 LPR 四倍为限；</w:t>
      </w:r>
    </w:p>
    <w:p>
      <w:pPr>
        <w:spacing w:after="100"/>
      </w:pPr>
      <w:r>
        <w:rPr>
          <w:rFonts w:ascii="Times New Roman" w:hAnsi="Times New Roman" w:eastAsia="仿宋"/>
          <w:b w:val="0"/>
          <w:sz w:val="22"/>
        </w:rPr>
        <w:t>· 借期内利率和逾期利率都没约定：出借人可以主张自逾期还款之日起，参照当时的一年期 LPR 计付违约责任利息；</w:t>
      </w:r>
    </w:p>
    <w:p>
      <w:pPr>
        <w:spacing w:after="100"/>
      </w:pPr>
      <w:r>
        <w:rPr>
          <w:rFonts w:ascii="Times New Roman" w:hAnsi="Times New Roman" w:eastAsia="仿宋"/>
          <w:b w:val="0"/>
          <w:sz w:val="22"/>
        </w:rPr>
        <w:t>· 约定了借期内利率、没约定逾期利率：可以主张自逾期还款之日起，按借期内利率支付资金占用期间的利息。</w:t>
      </w:r>
    </w:p>
    <w:p>
      <w:pPr>
        <w:spacing w:after="100"/>
      </w:pPr>
      <w:r>
        <w:rPr>
          <w:rFonts w:ascii="Times New Roman" w:hAnsi="Times New Roman" w:eastAsia="仿宋"/>
          <w:b w:val="0"/>
          <w:sz w:val="22"/>
        </w:rPr>
        <w:t>留意条文措辞的细节：第一种情形锚「合同成立时」，第二种情形条文用语是「当时」的一年期 LPR——两处基准并不相同，引用时别混成一个。</w:t>
      </w:r>
    </w:p>
    <w:p>
      <w:pPr>
        <w:spacing w:before="160" w:after="80"/>
      </w:pPr>
      <w:r>
        <w:rPr>
          <w:rFonts w:ascii="Times New Roman" w:hAnsi="Times New Roman" w:eastAsia="仿宋"/>
          <w:b/>
          <w:sz w:val="26"/>
        </w:rPr>
        <w:t>六、钱是怎么给的：案外人代付与转账备注</w:t>
      </w:r>
    </w:p>
    <w:p>
      <w:pPr>
        <w:spacing w:after="100"/>
      </w:pPr>
      <w:r>
        <w:rPr>
          <w:rFonts w:ascii="Times New Roman" w:hAnsi="Times New Roman" w:eastAsia="仿宋"/>
          <w:b w:val="0"/>
          <w:sz w:val="22"/>
        </w:rPr>
        <w:t>混合安排里，资金常常不是从出借人本人账户走的：让朋友转、让关联公司转。对方翻脸时的第一句抗辩往往就是——「这钱不是你出的」。</w:t>
      </w:r>
    </w:p>
    <w:p>
      <w:pPr>
        <w:spacing w:after="100"/>
      </w:pPr>
      <w:r>
        <w:rPr>
          <w:rFonts w:ascii="Times New Roman" w:hAnsi="Times New Roman" w:eastAsia="仿宋"/>
          <w:b w:val="0"/>
          <w:sz w:val="22"/>
        </w:rPr>
        <w:t>实务中有裁判把两样东西组合起来，认定付款归属于出借人：一是代付人出具的书面申明，确认系受出借人委托付款、并放弃对该款项的权利；二是转账时的备注（「借款」「投资款」），作为款项性质的初步证明。两样都在，付款主体和款项性质就都有了着落。</w:t>
      </w:r>
    </w:p>
    <w:p>
      <w:pPr>
        <w:spacing w:after="100"/>
      </w:pPr>
      <w:r>
        <w:rPr>
          <w:rFonts w:ascii="Times New Roman" w:hAnsi="Times New Roman" w:eastAsia="仿宋"/>
          <w:b w:val="0"/>
          <w:sz w:val="22"/>
        </w:rPr>
        <w:t>反过来，如果既没有申明、备注又空白，出借人就要用其他证据去补「这笔钱是我出的」「这笔钱是借款」两层事实，举证难度直线上升——举证责任的分配，仍是《民诉法解释》第九十条那套一般规则。</w:t>
      </w:r>
    </w:p>
    <w:p>
      <w:pPr>
        <w:spacing w:before="160" w:after="80"/>
      </w:pPr>
      <w:r>
        <w:rPr>
          <w:rFonts w:ascii="Times New Roman" w:hAnsi="Times New Roman" w:eastAsia="仿宋"/>
          <w:b/>
          <w:sz w:val="26"/>
        </w:rPr>
        <w:t>七、那 400 万后来怎么样了</w:t>
      </w:r>
    </w:p>
    <w:p>
      <w:pPr>
        <w:spacing w:after="100"/>
      </w:pPr>
      <w:r>
        <w:rPr>
          <w:rFonts w:ascii="Times New Roman" w:hAnsi="Times New Roman" w:eastAsia="仿宋"/>
          <w:b w:val="0"/>
          <w:sz w:val="22"/>
        </w:rPr>
        <w:t>被切出去的投资款不是终点，是另一串问题的起点：你自己没有办持股手续，股份实际登记在老板或其指定主体名下——这就滑进了股权代持。如果标的是公众公司（上市公司或挂牌公司）的股票，代持还存在被认定无效的重大风险；一旦无效，投资款要按《民法典》第一百五十七条的「返还财产／折价补偿」规则清算，分红和增值的期待可能整体落空。这一串问题怎么发生、怎么收场，第二篇专门拆。</w:t>
      </w:r>
    </w:p>
    <w:p>
      <w:pPr>
        <w:spacing w:before="160" w:after="80"/>
      </w:pPr>
      <w:r>
        <w:rPr>
          <w:rFonts w:ascii="Times New Roman" w:hAnsi="Times New Roman" w:eastAsia="仿宋"/>
          <w:b/>
          <w:sz w:val="26"/>
        </w:rPr>
        <w:t>八、常见问答</w:t>
      </w:r>
    </w:p>
    <w:p>
      <w:pPr>
        <w:spacing w:before="80" w:after="40"/>
      </w:pPr>
      <w:r>
        <w:rPr>
          <w:rFonts w:ascii="Times New Roman" w:hAnsi="Times New Roman" w:eastAsia="仿宋"/>
          <w:b/>
          <w:sz w:val="22"/>
        </w:rPr>
        <w:t>Q：合同标题就叫《借款协议》，里面的钱是不是都按借款算？</w:t>
      </w:r>
    </w:p>
    <w:p>
      <w:pPr>
        <w:spacing w:after="100"/>
      </w:pPr>
      <w:r>
        <w:rPr>
          <w:rFonts w:ascii="Times New Roman" w:hAnsi="Times New Roman" w:eastAsia="仿宋"/>
          <w:b w:val="0"/>
          <w:sz w:val="22"/>
        </w:rPr>
        <w:t>不是。法院按条款实质＋实际履行切分：限期偿还、逾期计息的部分按借款处理；写明不再偿还、用于认购股份、涨跌自负的部分，会被认定为股权性投资款，脱离借贷保护。</w:t>
      </w:r>
    </w:p>
    <w:p>
      <w:pPr>
        <w:spacing w:before="80" w:after="40"/>
      </w:pPr>
      <w:r>
        <w:rPr>
          <w:rFonts w:ascii="Times New Roman" w:hAnsi="Times New Roman" w:eastAsia="仿宋"/>
          <w:b/>
          <w:sz w:val="22"/>
        </w:rPr>
        <w:t>Q：我们约定的利率超过了 LPR 四倍，整个利息条款都无效吗？</w:t>
      </w:r>
    </w:p>
    <w:p>
      <w:pPr>
        <w:spacing w:after="100"/>
      </w:pPr>
      <w:r>
        <w:rPr>
          <w:rFonts w:ascii="Times New Roman" w:hAnsi="Times New Roman" w:eastAsia="仿宋"/>
          <w:b w:val="0"/>
          <w:sz w:val="22"/>
        </w:rPr>
        <w:t>不是全部落空，是超出部分不获支持，上限以内的利息仍可主张。注意上限的锚点是合同成立时的一年期 LPR 四倍（《民间借贷规定》第二十五条）。</w:t>
      </w:r>
    </w:p>
    <w:p>
      <w:pPr>
        <w:spacing w:before="80" w:after="40"/>
      </w:pPr>
      <w:r>
        <w:rPr>
          <w:rFonts w:ascii="Times New Roman" w:hAnsi="Times New Roman" w:eastAsia="仿宋"/>
          <w:b/>
          <w:sz w:val="22"/>
        </w:rPr>
        <w:t>Q：对方拖了好几年，我每次都收钱、从没催过利息，现在还能主张逾期利息吗？</w:t>
      </w:r>
    </w:p>
    <w:p>
      <w:pPr>
        <w:spacing w:after="100"/>
      </w:pPr>
      <w:r>
        <w:rPr>
          <w:rFonts w:ascii="Times New Roman" w:hAnsi="Times New Roman" w:eastAsia="仿宋"/>
          <w:b w:val="0"/>
          <w:sz w:val="22"/>
        </w:rPr>
        <w:t>有风险。实务中有裁判把长期无异议的历次收款全额认定为归还本金、不再先息后本冲抵；但只要你从未明确表示放弃，事后结算文件可以重新约定逾期利息标准，未超上限的有机会获得支持。建议尽快把利息主张落到书面。</w:t>
      </w:r>
    </w:p>
    <w:p>
      <w:pPr>
        <w:spacing w:before="80" w:after="40"/>
      </w:pPr>
      <w:r>
        <w:rPr>
          <w:rFonts w:ascii="Times New Roman" w:hAnsi="Times New Roman" w:eastAsia="仿宋"/>
          <w:b/>
          <w:sz w:val="22"/>
        </w:rPr>
        <w:t>Q：钱是我让别人的账户转的，对方说「出借人不是你」，怎么办？</w:t>
      </w:r>
    </w:p>
    <w:p>
      <w:pPr>
        <w:spacing w:after="100"/>
      </w:pPr>
      <w:r>
        <w:rPr>
          <w:rFonts w:ascii="Times New Roman" w:hAnsi="Times New Roman" w:eastAsia="仿宋"/>
          <w:b w:val="0"/>
          <w:sz w:val="22"/>
        </w:rPr>
        <w:t>让代付人出具书面申明——确认受你委托付款、并放弃对款项的权利——配合转账备注使用；实务中有裁判采纳这套组合认定付款归属。没有这些，就要用其他证据补证，举证不能的后果由你承担（《民诉法解释》第九十条）。</w:t>
      </w:r>
    </w:p>
    <w:p>
      <w:pPr>
        <w:spacing w:before="160" w:after="80"/>
      </w:pPr>
      <w:r>
        <w:rPr>
          <w:rFonts w:ascii="Times New Roman" w:hAnsi="Times New Roman" w:eastAsia="仿宋"/>
          <w:b/>
          <w:sz w:val="26"/>
        </w:rPr>
        <w:t>九、实务清单</w:t>
      </w:r>
    </w:p>
    <w:p>
      <w:pPr>
        <w:spacing w:after="100"/>
      </w:pPr>
      <w:r>
        <w:rPr>
          <w:rFonts w:ascii="Times New Roman" w:hAnsi="Times New Roman" w:eastAsia="仿宋"/>
          <w:b w:val="0"/>
          <w:sz w:val="22"/>
        </w:rPr>
        <w:t>· 分开签：借款签借款合同，投资签增资或股权转让文件，各写各的金额、还款／退出机制和利息规则。一份合同混装，等于把定性权交给法院。</w:t>
      </w:r>
    </w:p>
    <w:p>
      <w:pPr>
        <w:spacing w:after="100"/>
      </w:pPr>
      <w:r>
        <w:rPr>
          <w:rFonts w:ascii="Times New Roman" w:hAnsi="Times New Roman" w:eastAsia="仿宋"/>
          <w:b w:val="0"/>
          <w:sz w:val="22"/>
        </w:rPr>
        <w:t>· 一笔钱、一条路径、一个备注：分笔转账，备注写明「借款」或「投资款」，与合同条款一一对应。</w:t>
      </w:r>
    </w:p>
    <w:p>
      <w:pPr>
        <w:spacing w:after="100"/>
      </w:pPr>
      <w:r>
        <w:rPr>
          <w:rFonts w:ascii="Times New Roman" w:hAnsi="Times New Roman" w:eastAsia="仿宋"/>
          <w:b w:val="0"/>
          <w:sz w:val="22"/>
        </w:rPr>
        <w:t>· 案外人代付留申明：写明受谁委托、付的是什么款、代付人放弃权利。</w:t>
      </w:r>
    </w:p>
    <w:p>
      <w:pPr>
        <w:spacing w:after="100"/>
      </w:pPr>
      <w:r>
        <w:rPr>
          <w:rFonts w:ascii="Times New Roman" w:hAnsi="Times New Roman" w:eastAsia="仿宋"/>
          <w:b w:val="0"/>
          <w:sz w:val="22"/>
        </w:rPr>
        <w:t>· 接受迟延还款不沉默：每次收款书面注明「收到某期还款，逾期利息另行主张」。</w:t>
      </w:r>
    </w:p>
    <w:p>
      <w:pPr>
        <w:spacing w:after="100"/>
      </w:pPr>
      <w:r>
        <w:rPr>
          <w:rFonts w:ascii="Times New Roman" w:hAnsi="Times New Roman" w:eastAsia="仿宋"/>
          <w:b w:val="0"/>
          <w:sz w:val="22"/>
        </w:rPr>
        <w:t>· 清算留痕：对账只是对账，结算才是结算——终局解决要形成写明本金、利息标准与支付安排的结算文件，利息标准控制在合同成立时一年期 LPR 四倍以内。</w:t>
      </w:r>
    </w:p>
    <w:p>
      <w:pPr>
        <w:spacing w:before="160" w:after="80"/>
      </w:pPr>
      <w:r>
        <w:rPr>
          <w:rFonts w:ascii="Times New Roman" w:hAnsi="Times New Roman" w:eastAsia="仿宋"/>
          <w:b/>
          <w:sz w:val="26"/>
        </w:rPr>
        <w:t>本篇主要依据</w:t>
      </w:r>
    </w:p>
    <w:p>
      <w:pPr>
        <w:spacing w:after="100"/>
      </w:pPr>
      <w:r>
        <w:rPr>
          <w:rFonts w:ascii="Times New Roman" w:hAnsi="Times New Roman" w:eastAsia="仿宋"/>
          <w:b w:val="0"/>
          <w:sz w:val="22"/>
        </w:rPr>
        <w:t>· 《最高人民法院关于审理民间借贷案件适用法律若干问题的规定》（法释〔2020〕17 号，2020 年第二次修正，2021 年 1 月 1 日施行）第二十五条、第二十八条</w:t>
      </w:r>
    </w:p>
    <w:p>
      <w:pPr>
        <w:spacing w:after="100"/>
      </w:pPr>
      <w:r>
        <w:rPr>
          <w:rFonts w:ascii="Times New Roman" w:hAnsi="Times New Roman" w:eastAsia="仿宋"/>
          <w:b w:val="0"/>
          <w:sz w:val="22"/>
        </w:rPr>
        <w:t>· 《最高人民法院关于适用〈中华人民共和国民事诉讼法〉的解释》（2022 修正）第九十条</w:t>
      </w:r>
    </w:p>
    <w:p>
      <w:pPr>
        <w:spacing w:after="100"/>
      </w:pPr>
      <w:r>
        <w:rPr>
          <w:rFonts w:ascii="Times New Roman" w:hAnsi="Times New Roman" w:eastAsia="仿宋"/>
          <w:b w:val="0"/>
          <w:sz w:val="22"/>
        </w:rPr>
        <w:t>· 《中华人民共和国民法典》（2021 年 1 月 1 日施行）第一百五十七条</w:t>
      </w:r>
    </w:p>
    <w:p>
      <w:pPr>
        <w:spacing w:after="100"/>
      </w:pPr>
      <w:r>
        <w:rPr>
          <w:rFonts w:ascii="Times New Roman" w:hAnsi="Times New Roman" w:eastAsia="仿宋"/>
          <w:b w:val="0"/>
          <w:color w:val="333333"/>
          <w:sz w:val="21"/>
        </w:rPr>
        <w:t>【说明】本文为法律问题的研究与学习材料，免费提供，仅供参考学习之用，不构成对任何具体事项的法律意见。所引条文以写作时检索的现行有效版本为准，法律法规及监管口径可能变动，内容可能更新不及时或不准确。具体事项请咨询您的律师。</w:t>
      </w:r>
    </w:p>
    <w:p>
      <w:pPr>
        <w:spacing w:before="360" w:after="120"/>
      </w:pPr>
      <w:r>
        <w:rPr>
          <w:rFonts w:ascii="Times New Roman" w:hAnsi="Times New Roman" w:eastAsia="仿宋"/>
          <w:b/>
          <w:sz w:val="30"/>
        </w:rPr>
        <w:t>第二篇　替人代持挂牌公司股票，为什么可能无效——无效之后，钱怎么算。</w:t>
      </w:r>
    </w:p>
    <w:p>
      <w:pPr>
        <w:spacing w:before="160" w:after="80"/>
      </w:pPr>
      <w:r>
        <w:rPr>
          <w:rFonts w:ascii="Times New Roman" w:hAnsi="Times New Roman" w:eastAsia="仿宋"/>
          <w:b/>
          <w:sz w:val="26"/>
        </w:rPr>
        <w:t>一、场景：钱付了，股票一直在别人名下</w:t>
      </w:r>
    </w:p>
    <w:p>
      <w:pPr>
        <w:spacing w:after="100"/>
      </w:pPr>
      <w:r>
        <w:rPr>
          <w:rFonts w:ascii="Times New Roman" w:hAnsi="Times New Roman" w:eastAsia="仿宋"/>
          <w:b w:val="0"/>
          <w:sz w:val="22"/>
        </w:rPr>
        <w:t>为便于说明，设一个虚构的场景：出资人与一家新三板挂牌公司的实际控制人签《借款协议》，共付出 1000 万元。其中 600 万元写明是借款，限期偿还；另外 400 万元双方明确约定不作借款处理，用于按公司定向发行的条件认购公司股票，并约定由出资人自行完成开户等入股手续、投资风险自担。结果是：钱付了，出资人却一直没开证券账户，也从未出现在股东名册里——那 400 万元对应的股票始终在别人名下。几年后谈退出，谈崩了。</w:t>
      </w:r>
    </w:p>
    <w:p>
      <w:pPr>
        <w:spacing w:after="100"/>
      </w:pPr>
      <w:r>
        <w:rPr>
          <w:rFonts w:ascii="Times New Roman" w:hAnsi="Times New Roman" w:eastAsia="仿宋"/>
          <w:b w:val="0"/>
          <w:sz w:val="22"/>
        </w:rPr>
        <w:t>至少四个问题：这 400 万元双方是什么关系？有效吗？无效之后钱怎么算？这些年的分红和增值，归谁？</w:t>
      </w:r>
    </w:p>
    <w:p>
      <w:pPr>
        <w:spacing w:before="160" w:after="80"/>
      </w:pPr>
      <w:r>
        <w:rPr>
          <w:rFonts w:ascii="Times New Roman" w:hAnsi="Times New Roman" w:eastAsia="仿宋"/>
          <w:b/>
          <w:sz w:val="26"/>
        </w:rPr>
        <w:t>二、代持协议没签成，也可能构成「事实代持」</w:t>
      </w:r>
    </w:p>
    <w:p>
      <w:pPr>
        <w:spacing w:after="100"/>
      </w:pPr>
      <w:r>
        <w:rPr>
          <w:rFonts w:ascii="Times New Roman" w:hAnsi="Times New Roman" w:eastAsia="仿宋"/>
          <w:b w:val="0"/>
          <w:sz w:val="22"/>
        </w:rPr>
        <w:t>第一反应通常是翻文件：签没签《代持协议》？很多时候没有——文本发过去了，关键条款空着，签字栏也空着。但「没签成」不等于「不构成」。</w:t>
      </w:r>
    </w:p>
    <w:p>
      <w:pPr>
        <w:spacing w:after="100"/>
      </w:pPr>
      <w:r>
        <w:rPr>
          <w:rFonts w:ascii="Times New Roman" w:hAnsi="Times New Roman" w:eastAsia="仿宋"/>
          <w:b w:val="0"/>
          <w:sz w:val="22"/>
        </w:rPr>
        <w:t>有裁判观点认为，代持关系可以从实际履行中认定：出资人没开证券账户，客观上无法直接持股，双方都清楚；出资人多年不要求返还入股本金，对方也没主动归还；又没有证据证明另有安排——只能认定双方事实上认可由对方代持以出资人资金认购的股票。这就是事实代持。</w:t>
      </w:r>
    </w:p>
    <w:p>
      <w:pPr>
        <w:spacing w:after="100"/>
      </w:pPr>
      <w:r>
        <w:rPr>
          <w:rFonts w:ascii="Times New Roman" w:hAnsi="Times New Roman" w:eastAsia="仿宋"/>
          <w:b w:val="0"/>
          <w:sz w:val="22"/>
        </w:rPr>
        <w:t>举证责任在这里很关键。按民诉法解释（2022 修正）第九十条，对自己主张的事实举不出证据，就承担不利后果——对「为什么始终没有直接持股、另有什么安排」这类关键事实说不清楚，认定就可能朝不利方向走。</w:t>
      </w:r>
    </w:p>
    <w:p>
      <w:pPr>
        <w:spacing w:after="100"/>
      </w:pPr>
      <w:r>
        <w:rPr>
          <w:rFonts w:ascii="Times New Roman" w:hAnsi="Times New Roman" w:eastAsia="仿宋"/>
          <w:b w:val="0"/>
          <w:color w:val="333333"/>
          <w:sz w:val="21"/>
        </w:rPr>
        <w:t>【说明】「协议没签就没有代持」是常见误解。合同关系可以从实际履行中成立。钱出了、股票在别人名下、双方多年相安无事——这组事实本身就在说话。</w:t>
      </w:r>
    </w:p>
    <w:p>
      <w:pPr>
        <w:spacing w:before="160" w:after="80"/>
      </w:pPr>
      <w:r>
        <w:rPr>
          <w:rFonts w:ascii="Times New Roman" w:hAnsi="Times New Roman" w:eastAsia="仿宋"/>
          <w:b/>
          <w:sz w:val="26"/>
        </w:rPr>
        <w:t>三、代持不是一律无效：三种公司，三种答案</w:t>
      </w:r>
    </w:p>
    <w:tbl>
      <w:tblPr>
        <w:tblStyle w:val="TableGrid"/>
        <w:tblW w:type="auto" w:w="0"/>
        <w:tblLook w:firstColumn="1" w:firstRow="1" w:lastColumn="0" w:lastRow="0" w:noHBand="0" w:noVBand="1" w:val="04A0"/>
      </w:tblPr>
      <w:tblGrid>
        <w:gridCol w:w="3022"/>
        <w:gridCol w:w="3022"/>
        <w:gridCol w:w="3022"/>
      </w:tblGrid>
      <w:tr>
        <w:tc>
          <w:tcPr>
            <w:tcW w:type="dxa" w:w="3022"/>
          </w:tcPr>
          <w:p>
            <w:r/>
            <w:r>
              <w:rPr>
                <w:rFonts w:ascii="Times New Roman" w:hAnsi="Times New Roman" w:eastAsia="仿宋"/>
                <w:b/>
                <w:sz w:val="20"/>
              </w:rPr>
              <w:t>公司类型</w:t>
            </w:r>
          </w:p>
        </w:tc>
        <w:tc>
          <w:tcPr>
            <w:tcW w:type="dxa" w:w="3022"/>
          </w:tcPr>
          <w:p>
            <w:r/>
            <w:r>
              <w:rPr>
                <w:rFonts w:ascii="Times New Roman" w:hAnsi="Times New Roman" w:eastAsia="仿宋"/>
                <w:b/>
                <w:sz w:val="20"/>
              </w:rPr>
              <w:t>代持效力立场</w:t>
            </w:r>
          </w:p>
        </w:tc>
        <w:tc>
          <w:tcPr>
            <w:tcW w:type="dxa" w:w="3022"/>
          </w:tcPr>
          <w:p>
            <w:r/>
            <w:r>
              <w:rPr>
                <w:rFonts w:ascii="Times New Roman" w:hAnsi="Times New Roman" w:eastAsia="仿宋"/>
                <w:b/>
                <w:sz w:val="20"/>
              </w:rPr>
              <w:t>依据与现状</w:t>
            </w:r>
          </w:p>
        </w:tc>
      </w:tr>
      <w:tr>
        <w:tc>
          <w:tcPr>
            <w:tcW w:type="dxa" w:w="3022"/>
          </w:tcPr>
          <w:p>
            <w:r/>
            <w:r>
              <w:rPr>
                <w:rFonts w:ascii="Times New Roman" w:hAnsi="Times New Roman" w:eastAsia="仿宋"/>
                <w:b w:val="0"/>
                <w:sz w:val="20"/>
              </w:rPr>
              <w:t>有限责任公司</w:t>
            </w:r>
          </w:p>
        </w:tc>
        <w:tc>
          <w:tcPr>
            <w:tcW w:type="dxa" w:w="3022"/>
          </w:tcPr>
          <w:p>
            <w:r/>
            <w:r>
              <w:rPr>
                <w:rFonts w:ascii="Times New Roman" w:hAnsi="Times New Roman" w:eastAsia="仿宋"/>
                <w:b w:val="0"/>
                <w:sz w:val="20"/>
              </w:rPr>
              <w:t>原则上有效</w:t>
            </w:r>
          </w:p>
        </w:tc>
        <w:tc>
          <w:tcPr>
            <w:tcW w:type="dxa" w:w="3022"/>
          </w:tcPr>
          <w:p>
            <w:r/>
            <w:r>
              <w:rPr>
                <w:rFonts w:ascii="Times New Roman" w:hAnsi="Times New Roman" w:eastAsia="仿宋"/>
                <w:b w:val="0"/>
                <w:sz w:val="20"/>
              </w:rPr>
              <w:t>公司法解释三第 24 条（2020 修正）</w:t>
            </w:r>
          </w:p>
        </w:tc>
      </w:tr>
      <w:tr>
        <w:tc>
          <w:tcPr>
            <w:tcW w:type="dxa" w:w="3022"/>
          </w:tcPr>
          <w:p>
            <w:r/>
            <w:r>
              <w:rPr>
                <w:rFonts w:ascii="Times New Roman" w:hAnsi="Times New Roman" w:eastAsia="仿宋"/>
                <w:b w:val="0"/>
                <w:sz w:val="20"/>
              </w:rPr>
              <w:t>上市公司</w:t>
            </w:r>
          </w:p>
        </w:tc>
        <w:tc>
          <w:tcPr>
            <w:tcW w:type="dxa" w:w="3022"/>
          </w:tcPr>
          <w:p>
            <w:r/>
            <w:r>
              <w:rPr>
                <w:rFonts w:ascii="Times New Roman" w:hAnsi="Times New Roman" w:eastAsia="仿宋"/>
                <w:b w:val="0"/>
                <w:sz w:val="20"/>
              </w:rPr>
              <w:t>无效立场明确</w:t>
            </w:r>
          </w:p>
        </w:tc>
        <w:tc>
          <w:tcPr>
            <w:tcW w:type="dxa" w:w="3022"/>
          </w:tcPr>
          <w:p>
            <w:r/>
            <w:r>
              <w:rPr>
                <w:rFonts w:ascii="Times New Roman" w:hAnsi="Times New Roman" w:eastAsia="仿宋"/>
                <w:b w:val="0"/>
                <w:sz w:val="20"/>
              </w:rPr>
              <w:t>最高法院代表性再审裁判＋公司法（2023 修订）第 140 条第二款明文禁止</w:t>
            </w:r>
          </w:p>
        </w:tc>
      </w:tr>
      <w:tr>
        <w:tc>
          <w:tcPr>
            <w:tcW w:type="dxa" w:w="3022"/>
          </w:tcPr>
          <w:p>
            <w:r/>
            <w:r>
              <w:rPr>
                <w:rFonts w:ascii="Times New Roman" w:hAnsi="Times New Roman" w:eastAsia="仿宋"/>
                <w:b w:val="0"/>
                <w:sz w:val="20"/>
              </w:rPr>
              <w:t>新三板挂牌公司（非上市公众公司）</w:t>
            </w:r>
          </w:p>
        </w:tc>
        <w:tc>
          <w:tcPr>
            <w:tcW w:type="dxa" w:w="3022"/>
          </w:tcPr>
          <w:p>
            <w:r/>
            <w:r>
              <w:rPr>
                <w:rFonts w:ascii="Times New Roman" w:hAnsi="Times New Roman" w:eastAsia="仿宋"/>
                <w:b w:val="0"/>
                <w:sz w:val="20"/>
              </w:rPr>
              <w:t>裁判存在分歧</w:t>
            </w:r>
          </w:p>
        </w:tc>
        <w:tc>
          <w:tcPr>
            <w:tcW w:type="dxa" w:w="3022"/>
          </w:tcPr>
          <w:p>
            <w:r/>
            <w:r>
              <w:rPr>
                <w:rFonts w:ascii="Times New Roman" w:hAnsi="Times New Roman" w:eastAsia="仿宋"/>
                <w:b w:val="0"/>
                <w:sz w:val="20"/>
              </w:rPr>
              <w:t>两说并存；近年公开裁判向无效收敛</w:t>
            </w:r>
          </w:p>
        </w:tc>
      </w:tr>
    </w:tbl>
    <w:p>
      <w:pPr>
        <w:spacing w:after="40"/>
      </w:pPr>
    </w:p>
    <w:p>
      <w:pPr>
        <w:spacing w:before="120" w:after="60"/>
      </w:pPr>
      <w:r>
        <w:rPr>
          <w:rFonts w:ascii="Times New Roman" w:hAnsi="Times New Roman" w:eastAsia="仿宋"/>
          <w:b/>
          <w:sz w:val="24"/>
        </w:rPr>
        <w:t>有限责任公司：原则上有效</w:t>
      </w:r>
    </w:p>
    <w:p>
      <w:pPr>
        <w:spacing w:after="100"/>
      </w:pPr>
      <w:r>
        <w:rPr>
          <w:rFonts w:ascii="Times New Roman" w:hAnsi="Times New Roman" w:eastAsia="仿宋"/>
          <w:b w:val="0"/>
          <w:color w:val="333333"/>
          <w:sz w:val="21"/>
        </w:rPr>
        <w:t>【要点】实际出资人与名义出资人订立合同，约定由实际出资人出资并享有投资权益……如无法律规定的无效情形，人民法院应当认定该合同有效。——《公司法解释三》（2020 修正）第二十四条</w:t>
      </w:r>
    </w:p>
    <w:p>
      <w:pPr>
        <w:spacing w:after="100"/>
      </w:pPr>
      <w:r>
        <w:rPr>
          <w:rFonts w:ascii="Times New Roman" w:hAnsi="Times New Roman" w:eastAsia="仿宋"/>
          <w:b w:val="0"/>
          <w:sz w:val="22"/>
        </w:rPr>
        <w:t>三个限定：其一，条文只覆盖有限责任公司；其二，它只解决代持合同的债权效力，实际出资人不因此当然取得股东资格；其三，想「显名」登记为股东，按该条第三款还须其他股东半数以上同意。「无法律规定的无效情形」不是空话——民法典第 143 条的有效要件、第 153 条的无效事由都在这个入口里。</w:t>
      </w:r>
    </w:p>
    <w:p>
      <w:pPr>
        <w:spacing w:before="120" w:after="60"/>
      </w:pPr>
      <w:r>
        <w:rPr>
          <w:rFonts w:ascii="Times New Roman" w:hAnsi="Times New Roman" w:eastAsia="仿宋"/>
          <w:b/>
          <w:sz w:val="24"/>
        </w:rPr>
        <w:t>上市公司：从裁判立场到明文禁止</w:t>
      </w:r>
    </w:p>
    <w:p>
      <w:pPr>
        <w:spacing w:after="100"/>
      </w:pPr>
      <w:r>
        <w:rPr>
          <w:rFonts w:ascii="Times New Roman" w:hAnsi="Times New Roman" w:eastAsia="仿宋"/>
          <w:b w:val="0"/>
          <w:sz w:val="22"/>
        </w:rPr>
        <w:t>上市公司代持无效的代表性裁判，是（2017）最高法民申 2454 号再审审查裁定：拟上市公司股权必须清晰、发行人必须如实披露；隐名代持使信息披露、关联交易审查、高管任职回避等监管落空，损害非特定投资者利益和资本市场基本交易秩序，损害社会公共利益，无效。注意两点：这份文书是再审审查裁定，不是终审实体判决；且它明确无效不否定委托投资关系——实际出资人不能请求过户，但可请求公平分割委托投资利益。</w:t>
      </w:r>
    </w:p>
    <w:p>
      <w:pPr>
        <w:spacing w:after="100"/>
      </w:pPr>
      <w:r>
        <w:rPr>
          <w:rFonts w:ascii="Times New Roman" w:hAnsi="Times New Roman" w:eastAsia="仿宋"/>
          <w:b w:val="0"/>
          <w:sz w:val="22"/>
        </w:rPr>
        <w:t>2023 年修订的公司法把这一立场写进第一百四十条第二款：</w:t>
      </w:r>
    </w:p>
    <w:p>
      <w:pPr>
        <w:spacing w:after="100"/>
      </w:pPr>
      <w:r>
        <w:rPr>
          <w:rFonts w:ascii="Times New Roman" w:hAnsi="Times New Roman" w:eastAsia="仿宋"/>
          <w:b w:val="0"/>
          <w:color w:val="333333"/>
          <w:sz w:val="21"/>
        </w:rPr>
        <w:t>【要点】禁止违反法律、行政法规的规定代持上市公司股票。——《中华人民共和国公司法》（2023 修订）第一百四十条第二款</w:t>
      </w:r>
    </w:p>
    <w:p>
      <w:pPr>
        <w:spacing w:after="100"/>
      </w:pPr>
      <w:r>
        <w:rPr>
          <w:rFonts w:ascii="Times New Roman" w:hAnsi="Times New Roman" w:eastAsia="仿宋"/>
          <w:b w:val="0"/>
          <w:sz w:val="22"/>
        </w:rPr>
        <w:t>行为时法提醒：该条自 2024 年 7 月 1 日起施行，此前签订的代持协议不能直接引它定无效——那要走民法典第 153 条公序良俗路径，本条可作立法确认公共秩序的佐证。</w:t>
      </w:r>
    </w:p>
    <w:p>
      <w:pPr>
        <w:spacing w:before="120" w:after="60"/>
      </w:pPr>
      <w:r>
        <w:rPr>
          <w:rFonts w:ascii="Times New Roman" w:hAnsi="Times New Roman" w:eastAsia="仿宋"/>
          <w:b/>
          <w:sz w:val="24"/>
        </w:rPr>
        <w:t>新三板挂牌公司：两种观点，都要如实摆出来</w:t>
      </w:r>
    </w:p>
    <w:p>
      <w:pPr>
        <w:spacing w:after="100"/>
      </w:pPr>
      <w:r>
        <w:rPr>
          <w:rFonts w:ascii="Times New Roman" w:hAnsi="Times New Roman" w:eastAsia="仿宋"/>
          <w:b w:val="0"/>
          <w:sz w:val="22"/>
        </w:rPr>
        <w:t>公司法第 140 条文义只写「上市公司」，新三板挂牌公司是「非上市公众公司」，不直接落入。那挂牌公司代持效力如何？检索到的裁判是分裂的。</w:t>
      </w:r>
    </w:p>
    <w:p>
      <w:pPr>
        <w:spacing w:after="100"/>
      </w:pPr>
      <w:r>
        <w:rPr>
          <w:rFonts w:ascii="Times New Roman" w:hAnsi="Times New Roman" w:eastAsia="仿宋"/>
          <w:b w:val="0"/>
          <w:sz w:val="22"/>
        </w:rPr>
        <w:t>无效立场。北京有二审判决——（2024）京 02 民终 11737 号——认为：现行规则对非上市公众公司在信息披露真实准确完整、股权清晰、账户实名制上的要求与上市公司总体一致，违规代持影响交易秩序与安全、违背公序良俗，无效（引民法典第 8、143、153 条）；另有再审审查裁定——（2025）京 03 民申 280 号——认为代持意在规避投资者适当性规定、损害社会公共利益，同样无效；还有裁判进一步认为，代持导致的信息披露不实已对公众投资者利益产生实质影响。监管端依据：《非上市公众公司监督管理办法》（2025 修正）第二十一条的信息披露真实、准确、完整要求。</w:t>
      </w:r>
    </w:p>
    <w:p>
      <w:pPr>
        <w:spacing w:after="100"/>
      </w:pPr>
      <w:r>
        <w:rPr>
          <w:rFonts w:ascii="Times New Roman" w:hAnsi="Times New Roman" w:eastAsia="仿宋"/>
          <w:b w:val="0"/>
          <w:sz w:val="22"/>
        </w:rPr>
        <w:t>有效立场。也有高院再审审查裁定——（2020）鄂民申 4713 号——持相反观点：《非上市公众公司监督管理办法》系部门规章、属管理性规定而非效力性强制性规定，代持协议不违反法律、行政法规的强制性规定，有效。</w:t>
      </w:r>
    </w:p>
    <w:p>
      <w:pPr>
        <w:spacing w:after="100"/>
      </w:pPr>
      <w:r>
        <w:rPr>
          <w:rFonts w:ascii="Times New Roman" w:hAnsi="Times New Roman" w:eastAsia="仿宋"/>
          <w:b w:val="0"/>
          <w:sz w:val="22"/>
        </w:rPr>
        <w:t>怎么看分歧？三点如实说明：一，未检索到最高法院对新三板代持效力的直接表态判例，也没有以此为直接争点的指导性案例或公报案例——层级最高不超过高级法院：有效立场是高院再审审查裁定，无效立场检索所及只到中级法院层级裁判；二，有效立场裁判在旧合同法框架下作出，未正面回应公序良俗路径，也未检索到民法典和公司法第 140 条施行后仍持有效立场的新近判例；三，近年公开裁判明显向无效收敛。</w:t>
      </w:r>
    </w:p>
    <w:p>
      <w:pPr>
        <w:spacing w:after="100"/>
      </w:pPr>
      <w:r>
        <w:rPr>
          <w:rFonts w:ascii="Times New Roman" w:hAnsi="Times New Roman" w:eastAsia="仿宋"/>
          <w:b w:val="0"/>
          <w:color w:val="333333"/>
          <w:sz w:val="21"/>
        </w:rPr>
        <w:t>【要点】结论只能写到这一步：新三板挂牌公司代持，不是「一律无效」，而是「存在被认定无效的重大风险」——且这个风险正在变大。离公开市场越近，代持越危险。</w:t>
      </w:r>
    </w:p>
    <w:p>
      <w:pPr>
        <w:spacing w:before="160" w:after="80"/>
      </w:pPr>
      <w:r>
        <w:rPr>
          <w:rFonts w:ascii="Times New Roman" w:hAnsi="Times New Roman" w:eastAsia="仿宋"/>
          <w:b/>
          <w:sz w:val="26"/>
        </w:rPr>
        <w:t>四、无效之后，钱怎么算：153 条管生死，157 条管算账</w:t>
      </w:r>
    </w:p>
    <w:p>
      <w:pPr>
        <w:spacing w:after="100"/>
      </w:pPr>
      <w:r>
        <w:rPr>
          <w:rFonts w:ascii="Times New Roman" w:hAnsi="Times New Roman" w:eastAsia="仿宋"/>
          <w:b w:val="0"/>
          <w:sz w:val="22"/>
        </w:rPr>
        <w:t>认定无效的依据是民法典第一百五十三条。它分两款：第一款是违反法律、行政法规的强制性规定无效（附但书）；第二款是违背公序良俗无效。新三板代持的无效裁判主要走第二款——监管办法是部门规章，进不了第一款的门槛。两种立场的分野正在这里：有效说停在第一款，无效说绕到第二款。</w:t>
      </w:r>
    </w:p>
    <w:p>
      <w:pPr>
        <w:spacing w:after="100"/>
      </w:pPr>
      <w:r>
        <w:rPr>
          <w:rFonts w:ascii="Times New Roman" w:hAnsi="Times New Roman" w:eastAsia="仿宋"/>
          <w:b w:val="0"/>
          <w:sz w:val="22"/>
        </w:rPr>
        <w:t>无效的后果是第一百五十七条，三层结构：返还财产 → 不能返还或者没有必要返还的，折价补偿 → 有过错的一方赔偿对方损失。</w:t>
      </w:r>
    </w:p>
    <w:p>
      <w:pPr>
        <w:spacing w:after="100"/>
      </w:pPr>
      <w:r>
        <w:rPr>
          <w:rFonts w:ascii="Times New Roman" w:hAnsi="Times New Roman" w:eastAsia="仿宋"/>
          <w:b w:val="0"/>
          <w:sz w:val="22"/>
        </w:rPr>
        <w:t>对代持股票，条文上的第一顺位是返还财产。但能否据此请求把股票过户到自己名下，在公众公司语境要打个问号——前述（2017）最高法民申 2454 号已明确，上市公司代持无效后实际出资人不能请求股权过户，只能请求公平分割委托投资利益。更常见的局面是干脆返还不能：股份已被处置、股票已被司法冻结处置、公司解散注销等。这时进入折价补偿——从「要股票」变成「要钱」，法律关系「债权化」了。</w:t>
      </w:r>
    </w:p>
    <w:p>
      <w:pPr>
        <w:spacing w:after="100"/>
      </w:pPr>
      <w:r>
        <w:rPr>
          <w:rFonts w:ascii="Times New Roman" w:hAnsi="Times New Roman" w:eastAsia="仿宋"/>
          <w:b w:val="0"/>
          <w:sz w:val="22"/>
        </w:rPr>
        <w:t>折价怎么折？两条路径：评估股票实际价值，或按双方协商的结算标准。有裁判观点认为，三个条件齐备时可以选后者：股票客观上无法返还；出资人自争议发生起从未要求返还股票、只主张按固定标准结算退款——等于自行放弃评估路径；且与双方此前协商过程一致。于是直接按合意的固定年单利清算，股票值多少钱都不用评（裁判参照民间借贷司法解释，约定利率仍以合同成立时一年期贷款市场报价利率四倍为限）。</w:t>
      </w:r>
    </w:p>
    <w:p>
      <w:pPr>
        <w:spacing w:after="100"/>
      </w:pPr>
      <w:r>
        <w:rPr>
          <w:rFonts w:ascii="Times New Roman" w:hAnsi="Times New Roman" w:eastAsia="仿宋"/>
          <w:b w:val="0"/>
          <w:color w:val="333333"/>
          <w:sz w:val="21"/>
        </w:rPr>
        <w:t>【提醒】别把「按固定利率债权化清算」读成唯一后果。它是「返还不能＋只主张固定标准＋与协商过程一致」三个条件下的路径选择。换一个案件，出资人一开始就主张返还股票或按实际价值折价，完全可能走评估路径——届时鉴定要不要做、公司要不要参诉，结论都会反过来。</w:t>
      </w:r>
    </w:p>
    <w:p>
      <w:pPr>
        <w:spacing w:before="160" w:after="80"/>
      </w:pPr>
      <w:r>
        <w:rPr>
          <w:rFonts w:ascii="Times New Roman" w:hAnsi="Times New Roman" w:eastAsia="仿宋"/>
          <w:b/>
          <w:sz w:val="26"/>
        </w:rPr>
        <w:t>五、债权化的连锁反应：股权性利益为何可能整体落空</w:t>
      </w:r>
    </w:p>
    <w:p>
      <w:pPr>
        <w:spacing w:after="100"/>
      </w:pPr>
      <w:r>
        <w:rPr>
          <w:rFonts w:ascii="Times New Roman" w:hAnsi="Times New Roman" w:eastAsia="仿宋"/>
          <w:b w:val="0"/>
          <w:sz w:val="22"/>
        </w:rPr>
        <w:t>一旦关系债权化、请求权被「定额化」，连锁反应是体系性的，可以归纳为两层。</w:t>
      </w:r>
    </w:p>
    <w:p>
      <w:pPr>
        <w:spacing w:after="100"/>
      </w:pPr>
      <w:r>
        <w:rPr>
          <w:rFonts w:ascii="Times New Roman" w:hAnsi="Times New Roman" w:eastAsia="仿宋"/>
          <w:b w:val="0"/>
          <w:sz w:val="22"/>
        </w:rPr>
        <w:t>第一层：分红和增值可能拿不到。无效后出资人的请求权基础是第 157 条的折价补偿；长期只主张固定标准结算的，债权就被「定额化」——超出该标准的历年分红、股票增值都可能失去请求权基础。</w:t>
      </w:r>
    </w:p>
    <w:p>
      <w:pPr>
        <w:spacing w:after="100"/>
      </w:pPr>
      <w:r>
        <w:rPr>
          <w:rFonts w:ascii="Times New Roman" w:hAnsi="Times New Roman" w:eastAsia="仿宋"/>
          <w:b w:val="0"/>
          <w:sz w:val="22"/>
        </w:rPr>
        <w:t>第二层：围绕股权价值的程序主张可能一并落空。请求权定额化之后，公司经营数据、每股价值与待证事实失去关联，针对它们的司法鉴定申请可能不被准许；纠纷也简化为出资人与代持人之间的金钱给付问题，目标公司可能无需参加诉讼；围绕公司资本制度的抗辩（例如主张退款构成抽逃出资）在这一路径下通常也难获支持——承担返还义务的是代持人个人，而非公司。</w:t>
      </w:r>
    </w:p>
    <w:p>
      <w:pPr>
        <w:spacing w:before="160" w:after="80"/>
      </w:pPr>
      <w:r>
        <w:rPr>
          <w:rFonts w:ascii="Times New Roman" w:hAnsi="Times New Roman" w:eastAsia="仿宋"/>
          <w:b/>
          <w:sz w:val="26"/>
        </w:rPr>
        <w:t>六、常见问答</w:t>
      </w:r>
    </w:p>
    <w:p>
      <w:pPr>
        <w:spacing w:before="80" w:after="40"/>
      </w:pPr>
      <w:r>
        <w:rPr>
          <w:rFonts w:ascii="Times New Roman" w:hAnsi="Times New Roman" w:eastAsia="仿宋"/>
          <w:b/>
          <w:sz w:val="22"/>
        </w:rPr>
        <w:t>Q：没签代持协议，是不是就不构成代持？</w:t>
      </w:r>
    </w:p>
    <w:p>
      <w:pPr>
        <w:spacing w:after="100"/>
      </w:pPr>
      <w:r>
        <w:rPr>
          <w:rFonts w:ascii="Times New Roman" w:hAnsi="Times New Roman" w:eastAsia="仿宋"/>
          <w:b w:val="0"/>
          <w:sz w:val="22"/>
        </w:rPr>
        <w:t>不一定。有裁判观点认为，可以从「钱已付出＋未开证券账户无法直接持股＋多年不要求返还入股本金」的事实组合认定事实代持。指望「没签字」当护身符，多半会失望。</w:t>
      </w:r>
    </w:p>
    <w:p>
      <w:pPr>
        <w:spacing w:before="80" w:after="40"/>
      </w:pPr>
      <w:r>
        <w:rPr>
          <w:rFonts w:ascii="Times New Roman" w:hAnsi="Times New Roman" w:eastAsia="仿宋"/>
          <w:b/>
          <w:sz w:val="22"/>
        </w:rPr>
        <w:t>Q：代持被认定无效，我的钱是不是打水漂了？</w:t>
      </w:r>
    </w:p>
    <w:p>
      <w:pPr>
        <w:spacing w:after="100"/>
      </w:pPr>
      <w:r>
        <w:rPr>
          <w:rFonts w:ascii="Times New Roman" w:hAnsi="Times New Roman" w:eastAsia="仿宋"/>
          <w:b w:val="0"/>
          <w:sz w:val="22"/>
        </w:rPr>
        <w:t>不是。无效不等于没收。按民法典第 157 条，取得财产的一方应当返还，不能返还的折价补偿，有过错的还要赔偿损失。但收益部分要分路径看：若长期只主张按固定标准结算、关系被「定额化」，超出该标准的股权性收益——分红和增值——大概率拿不到；若走（2017）最高法民申 2454 号确认的「公平分割委托投资利益」路径，增值收益并非当然落空。本金有保护，收益取决于主张路径和证据，这是代持无效最现实的代价。</w:t>
      </w:r>
    </w:p>
    <w:p>
      <w:pPr>
        <w:spacing w:before="80" w:after="40"/>
      </w:pPr>
      <w:r>
        <w:rPr>
          <w:rFonts w:ascii="Times New Roman" w:hAnsi="Times New Roman" w:eastAsia="仿宋"/>
          <w:b/>
          <w:sz w:val="22"/>
        </w:rPr>
        <w:t>Q：签代持协议时公司还没挂牌，挂牌之后效力怎么算？</w:t>
      </w:r>
    </w:p>
    <w:p>
      <w:pPr>
        <w:spacing w:after="100"/>
      </w:pPr>
      <w:r>
        <w:rPr>
          <w:rFonts w:ascii="Times New Roman" w:hAnsi="Times New Roman" w:eastAsia="仿宋"/>
          <w:b w:val="0"/>
          <w:sz w:val="22"/>
        </w:rPr>
        <w:t>检索到的无效立场裁判正是这种情形：拟挂牌阶段签订、挂牌审查及挂牌后一直隐瞒，仍被认定无效——代持状态延续到公众公司阶段，持续影响信息披露与股权清晰。「签约时还不是公众公司」不构成豁免。</w:t>
      </w:r>
    </w:p>
    <w:p>
      <w:pPr>
        <w:spacing w:before="160" w:after="80"/>
      </w:pPr>
      <w:r>
        <w:rPr>
          <w:rFonts w:ascii="Times New Roman" w:hAnsi="Times New Roman" w:eastAsia="仿宋"/>
          <w:b/>
          <w:sz w:val="26"/>
        </w:rPr>
        <w:t>七、实务清单</w:t>
      </w:r>
    </w:p>
    <w:p>
      <w:pPr>
        <w:spacing w:after="100"/>
      </w:pPr>
      <w:r>
        <w:rPr>
          <w:rFonts w:ascii="Times New Roman" w:hAnsi="Times New Roman" w:eastAsia="仿宋"/>
          <w:b w:val="0"/>
          <w:sz w:val="22"/>
        </w:rPr>
        <w:t>· 还没入股的：走正规程序，别碰代持。想要挂牌、上市公司的股权收益，就把法定程序走完——实名开户、按定向发行程序认购、完成登记。「先让别人拿着、以后再过户」在公众公司语境下是高风险安排。</w:t>
      </w:r>
    </w:p>
    <w:p>
      <w:pPr>
        <w:spacing w:after="100"/>
      </w:pPr>
      <w:r>
        <w:rPr>
          <w:rFonts w:ascii="Times New Roman" w:hAnsi="Times New Roman" w:eastAsia="仿宋"/>
          <w:b w:val="0"/>
          <w:sz w:val="22"/>
        </w:rPr>
        <w:t>· 已形成代持的：分层补救。有限公司可协商显名（注意其他股东半数以上同意的门槛）；挂牌、上市公司的代持随时可能被认定无效，宜尽早协商解除并固化结算文件，协商过程和授权文件的证据留全。</w:t>
      </w:r>
    </w:p>
    <w:p>
      <w:pPr>
        <w:spacing w:after="100"/>
      </w:pPr>
      <w:r>
        <w:rPr>
          <w:rFonts w:ascii="Times New Roman" w:hAnsi="Times New Roman" w:eastAsia="仿宋"/>
          <w:b w:val="0"/>
          <w:sz w:val="22"/>
        </w:rPr>
        <w:t>· 资金进出留痕。转账备注写明款项性质（借款还是投资款）；经案外人账户代付的，尽早以书面方式固定委托付款关系、明确款项归属，避免「钱到底是谁出的」日后成为争点。</w:t>
      </w:r>
    </w:p>
    <w:p>
      <w:pPr>
        <w:spacing w:after="100"/>
      </w:pPr>
      <w:r>
        <w:rPr>
          <w:rFonts w:ascii="Times New Roman" w:hAnsi="Times New Roman" w:eastAsia="仿宋"/>
          <w:b w:val="0"/>
          <w:sz w:val="22"/>
        </w:rPr>
        <w:t>固化结算文件说起来容易——对方本人不出面，只在微信里表示委托某人全权处理，代理人谈出来的会议纪要算不算数？这是第三篇的主题。</w:t>
      </w:r>
    </w:p>
    <w:p>
      <w:pPr>
        <w:spacing w:before="160" w:after="80"/>
      </w:pPr>
      <w:r>
        <w:rPr>
          <w:rFonts w:ascii="Times New Roman" w:hAnsi="Times New Roman" w:eastAsia="仿宋"/>
          <w:b/>
          <w:sz w:val="26"/>
        </w:rPr>
        <w:t>本篇主要依据</w:t>
      </w:r>
    </w:p>
    <w:p>
      <w:pPr>
        <w:spacing w:after="100"/>
      </w:pPr>
      <w:r>
        <w:rPr>
          <w:rFonts w:ascii="Times New Roman" w:hAnsi="Times New Roman" w:eastAsia="仿宋"/>
          <w:b w:val="0"/>
          <w:sz w:val="22"/>
        </w:rPr>
        <w:t>· 《中华人民共和国民法典》（2021 年 1 月 1 日施行）第一百四十三条、第一百五十三条、第一百五十七条</w:t>
      </w:r>
    </w:p>
    <w:p>
      <w:pPr>
        <w:spacing w:after="100"/>
      </w:pPr>
      <w:r>
        <w:rPr>
          <w:rFonts w:ascii="Times New Roman" w:hAnsi="Times New Roman" w:eastAsia="仿宋"/>
          <w:b w:val="0"/>
          <w:sz w:val="22"/>
        </w:rPr>
        <w:t>· 《中华人民共和国公司法》（2023 修订，2024 年 7 月 1 日施行）第一百四十条</w:t>
      </w:r>
    </w:p>
    <w:p>
      <w:pPr>
        <w:spacing w:after="100"/>
      </w:pPr>
      <w:r>
        <w:rPr>
          <w:rFonts w:ascii="Times New Roman" w:hAnsi="Times New Roman" w:eastAsia="仿宋"/>
          <w:b w:val="0"/>
          <w:sz w:val="22"/>
        </w:rPr>
        <w:t>· 《最高人民法院关于适用〈中华人民共和国公司法〉若干问题的规定（三）》（2020 修正）第二十四条</w:t>
      </w:r>
    </w:p>
    <w:p>
      <w:pPr>
        <w:spacing w:after="100"/>
      </w:pPr>
      <w:r>
        <w:rPr>
          <w:rFonts w:ascii="Times New Roman" w:hAnsi="Times New Roman" w:eastAsia="仿宋"/>
          <w:b w:val="0"/>
          <w:sz w:val="22"/>
        </w:rPr>
        <w:t>· 《非上市公众公司监督管理办法》（2025 修正，证监会令第 227 号）第二十一条</w:t>
      </w:r>
    </w:p>
    <w:p>
      <w:pPr>
        <w:spacing w:after="100"/>
      </w:pPr>
      <w:r>
        <w:rPr>
          <w:rFonts w:ascii="Times New Roman" w:hAnsi="Times New Roman" w:eastAsia="仿宋"/>
          <w:b w:val="0"/>
          <w:sz w:val="22"/>
        </w:rPr>
        <w:t>· 《最高人民法院关于适用〈中华人民共和国民事诉讼法〉的解释》（2022 修正）第九十条</w:t>
      </w:r>
    </w:p>
    <w:p>
      <w:pPr>
        <w:spacing w:after="100"/>
      </w:pPr>
      <w:r>
        <w:rPr>
          <w:rFonts w:ascii="Times New Roman" w:hAnsi="Times New Roman" w:eastAsia="仿宋"/>
          <w:b w:val="0"/>
          <w:sz w:val="22"/>
        </w:rPr>
        <w:t>· 《最高人民法院关于审理民间借贷案件适用法律若干问题的规定》（2020 第二次修正）第二十五条</w:t>
      </w:r>
    </w:p>
    <w:p>
      <w:pPr>
        <w:spacing w:after="100"/>
      </w:pPr>
      <w:r>
        <w:rPr>
          <w:rFonts w:ascii="Times New Roman" w:hAnsi="Times New Roman" w:eastAsia="仿宋"/>
          <w:b w:val="0"/>
          <w:sz w:val="22"/>
        </w:rPr>
        <w:t>· （2017）最高法民申 2454 号再审审查民事裁定；（2024）京 02 民终 11737 号二审民事判决；（2025）京 03 民申 280 号再审审查民事裁定；（2020）鄂民申 4713 号再审审查民事裁定</w:t>
      </w:r>
    </w:p>
    <w:p>
      <w:pPr>
        <w:spacing w:after="100"/>
      </w:pPr>
      <w:r>
        <w:rPr>
          <w:rFonts w:ascii="Times New Roman" w:hAnsi="Times New Roman" w:eastAsia="仿宋"/>
          <w:b w:val="0"/>
          <w:color w:val="333333"/>
          <w:sz w:val="21"/>
        </w:rPr>
        <w:t>【说明】本文为法律问题的研究与学习材料，免费提供，仅供参考学习之用，不构成对任何具体事项的法律意见。所引条文以写作时检索的现行有效版本为准，法律法规及监管口径可能变动，内容可能更新不及时或不准确。具体事项请咨询您的律师。</w:t>
      </w:r>
    </w:p>
    <w:p>
      <w:pPr>
        <w:spacing w:before="360" w:after="120"/>
      </w:pPr>
      <w:r>
        <w:rPr>
          <w:rFonts w:ascii="Times New Roman" w:hAnsi="Times New Roman" w:eastAsia="仿宋"/>
          <w:b/>
          <w:sz w:val="30"/>
        </w:rPr>
        <w:t>第三篇　微信群里的「会议纪要」算数吗。</w:t>
      </w:r>
    </w:p>
    <w:p>
      <w:pPr>
        <w:spacing w:before="160" w:after="80"/>
      </w:pPr>
      <w:r>
        <w:rPr>
          <w:rFonts w:ascii="Times New Roman" w:hAnsi="Times New Roman" w:eastAsia="仿宋"/>
          <w:b/>
          <w:sz w:val="26"/>
        </w:rPr>
        <w:t>一、场景：谈崩之后，群里来了位「全权代表」</w:t>
      </w:r>
    </w:p>
    <w:p>
      <w:pPr>
        <w:spacing w:after="100"/>
      </w:pPr>
      <w:r>
        <w:rPr>
          <w:rFonts w:ascii="Times New Roman" w:hAnsi="Times New Roman" w:eastAsia="仿宋"/>
          <w:b w:val="0"/>
          <w:sz w:val="22"/>
        </w:rPr>
        <w:t>沿用本专题前两篇的场景：出借人与公司老板之间有多年资金往来，同一份协议里一部分是借款、一部分是入股的钱（第一篇），而替人代持公众公司股票又面临无效风险（第二篇）。走到清算这一步，双方谈崩了。老板在微信里说：「这事我不出面谈了，让我的助理全权和你谈，他可以做主。」还向助理出具了一份授权委托书，写明由其全权处理双方之间的款项争议。</w:t>
      </w:r>
    </w:p>
    <w:p>
      <w:pPr>
        <w:spacing w:after="100"/>
      </w:pPr>
      <w:r>
        <w:rPr>
          <w:rFonts w:ascii="Times New Roman" w:hAnsi="Times New Roman" w:eastAsia="仿宋"/>
          <w:b w:val="0"/>
          <w:sz w:val="22"/>
        </w:rPr>
        <w:t>几轮协商后，助理把一份会议纪要发进微信群：双方往来收付款的时间与金额逐笔确认无争议；剩余款项分段约定利率、先息后本；列明清偿安排。群里有人回复「确认」，有人回了个表情。几天后，老板反悔，理由有三：纪要我本人没签字；助理只是「全权代理」，依民诉法解释第89条无权和解；何况这笔钱早过了三年诉讼时效。</w:t>
      </w:r>
    </w:p>
    <w:p>
      <w:pPr>
        <w:spacing w:after="100"/>
      </w:pPr>
      <w:r>
        <w:rPr>
          <w:rFonts w:ascii="Times New Roman" w:hAnsi="Times New Roman" w:eastAsia="仿宋"/>
          <w:b w:val="0"/>
          <w:sz w:val="22"/>
        </w:rPr>
        <w:t>三句抗辩，对应本篇的三个问题：代理、结算、时效。逐个来。</w:t>
      </w:r>
    </w:p>
    <w:p>
      <w:pPr>
        <w:spacing w:before="160" w:after="80"/>
      </w:pPr>
      <w:r>
        <w:rPr>
          <w:rFonts w:ascii="Times New Roman" w:hAnsi="Times New Roman" w:eastAsia="仿宋"/>
          <w:b/>
          <w:sz w:val="26"/>
        </w:rPr>
        <w:t>二、「全权代理」的两副面孔</w:t>
      </w:r>
    </w:p>
    <w:p>
      <w:pPr>
        <w:spacing w:after="100"/>
      </w:pPr>
      <w:r>
        <w:rPr>
          <w:rFonts w:ascii="Times New Roman" w:hAnsi="Times New Roman" w:eastAsia="仿宋"/>
          <w:b w:val="0"/>
          <w:sz w:val="22"/>
        </w:rPr>
        <w:t>先看被引用的条文。《最高人民法院关于适用〈中华人民共和国民事诉讼法〉的解释》（2022修正）第89条第1款确实写着：</w:t>
      </w:r>
    </w:p>
    <w:p>
      <w:pPr>
        <w:spacing w:after="100"/>
      </w:pPr>
      <w:r>
        <w:rPr>
          <w:rFonts w:ascii="Times New Roman" w:hAnsi="Times New Roman" w:eastAsia="仿宋"/>
          <w:b w:val="0"/>
          <w:color w:val="333333"/>
          <w:sz w:val="21"/>
        </w:rPr>
        <w:t>【要点】授权委托书仅写「全权代理」而无具体授权的，诉讼代理人无权代为承认、放弃、变更诉讼请求，进行和解，提出反诉或者提起上诉。</w:t>
      </w:r>
    </w:p>
    <w:p>
      <w:pPr>
        <w:spacing w:after="100"/>
      </w:pPr>
      <w:r>
        <w:rPr>
          <w:rFonts w:ascii="Times New Roman" w:hAnsi="Times New Roman" w:eastAsia="仿宋"/>
          <w:b w:val="0"/>
          <w:sz w:val="22"/>
        </w:rPr>
        <w:t>但注意主语——诉讼代理人。这一款说的是打官司：笼统写「全权代理」，不产生对和解、承认／放弃／变更诉讼请求、反诉、上诉的特别授权，特别授权必须逐项明示。它解决的是法庭内的权限问题。</w:t>
      </w:r>
    </w:p>
    <w:p>
      <w:pPr>
        <w:spacing w:after="100"/>
      </w:pPr>
      <w:r>
        <w:rPr>
          <w:rFonts w:ascii="Times New Roman" w:hAnsi="Times New Roman" w:eastAsia="仿宋"/>
          <w:b w:val="0"/>
          <w:sz w:val="22"/>
        </w:rPr>
        <w:t>而「让我的助理全权和你谈」发生在诉讼之外——那是协商与结算，属于民事法律行为的委托代理，应当回到《民法典》第七章「代理」（第161条以下，尤其第162、165、171、172条）去判断。有裁判观点明确作了这个切割：第89条第1款的规制对象仅为民事诉讼代理行为，并不导致诉讼程序之外的代理行为一概无效；诉讼外代理的效力，依民法典委托代理规则判断。</w:t>
      </w:r>
    </w:p>
    <w:p>
      <w:pPr>
        <w:spacing w:after="100"/>
      </w:pPr>
      <w:r>
        <w:rPr>
          <w:rFonts w:ascii="Times New Roman" w:hAnsi="Times New Roman" w:eastAsia="仿宋"/>
          <w:b w:val="0"/>
          <w:color w:val="333333"/>
          <w:sz w:val="21"/>
        </w:rPr>
        <w:t>【要点】民诉法解释第89条管的是法庭上的「全权」；微信群里的「全权」，要回到民法典的委托代理规则去判断。</w:t>
      </w:r>
    </w:p>
    <w:tbl>
      <w:tblPr>
        <w:tblStyle w:val="TableGrid"/>
        <w:tblW w:type="auto" w:w="0"/>
        <w:tblLook w:firstColumn="1" w:firstRow="1" w:lastColumn="0" w:lastRow="0" w:noHBand="0" w:noVBand="1" w:val="04A0"/>
      </w:tblPr>
      <w:tblGrid>
        <w:gridCol w:w="3022"/>
        <w:gridCol w:w="3022"/>
        <w:gridCol w:w="3022"/>
      </w:tblGrid>
      <w:tr>
        <w:tc>
          <w:tcPr>
            <w:tcW w:type="dxa" w:w="3022"/>
          </w:tcPr>
          <w:p>
            <w:r/>
            <w:r>
              <w:rPr>
                <w:rFonts w:ascii="Times New Roman" w:hAnsi="Times New Roman" w:eastAsia="仿宋"/>
                <w:b/>
                <w:sz w:val="20"/>
              </w:rPr>
            </w:r>
          </w:p>
        </w:tc>
        <w:tc>
          <w:tcPr>
            <w:tcW w:type="dxa" w:w="3022"/>
          </w:tcPr>
          <w:p>
            <w:r/>
            <w:r>
              <w:rPr>
                <w:rFonts w:ascii="Times New Roman" w:hAnsi="Times New Roman" w:eastAsia="仿宋"/>
                <w:b/>
                <w:sz w:val="20"/>
              </w:rPr>
              <w:t>诉讼中的「全权代理」</w:t>
            </w:r>
          </w:p>
        </w:tc>
        <w:tc>
          <w:tcPr>
            <w:tcW w:type="dxa" w:w="3022"/>
          </w:tcPr>
          <w:p>
            <w:r/>
            <w:r>
              <w:rPr>
                <w:rFonts w:ascii="Times New Roman" w:hAnsi="Times New Roman" w:eastAsia="仿宋"/>
                <w:b/>
                <w:sz w:val="20"/>
              </w:rPr>
              <w:t>诉讼外协商的「全权代理」</w:t>
            </w:r>
          </w:p>
        </w:tc>
      </w:tr>
      <w:tr>
        <w:tc>
          <w:tcPr>
            <w:tcW w:type="dxa" w:w="3022"/>
          </w:tcPr>
          <w:p>
            <w:r/>
            <w:r>
              <w:rPr>
                <w:rFonts w:ascii="Times New Roman" w:hAnsi="Times New Roman" w:eastAsia="仿宋"/>
                <w:b w:val="0"/>
                <w:sz w:val="20"/>
              </w:rPr>
              <w:t>规范依据</w:t>
            </w:r>
          </w:p>
        </w:tc>
        <w:tc>
          <w:tcPr>
            <w:tcW w:type="dxa" w:w="3022"/>
          </w:tcPr>
          <w:p>
            <w:r/>
            <w:r>
              <w:rPr>
                <w:rFonts w:ascii="Times New Roman" w:hAnsi="Times New Roman" w:eastAsia="仿宋"/>
                <w:b w:val="0"/>
                <w:sz w:val="20"/>
              </w:rPr>
              <w:t>民诉法解释第89条第1款</w:t>
            </w:r>
          </w:p>
        </w:tc>
        <w:tc>
          <w:tcPr>
            <w:tcW w:type="dxa" w:w="3022"/>
          </w:tcPr>
          <w:p>
            <w:r/>
            <w:r>
              <w:rPr>
                <w:rFonts w:ascii="Times New Roman" w:hAnsi="Times New Roman" w:eastAsia="仿宋"/>
                <w:b w:val="0"/>
                <w:sz w:val="20"/>
              </w:rPr>
              <w:t>民法典第七章「代理」（第161条以下），尤其第162、165、171、172条</w:t>
            </w:r>
          </w:p>
        </w:tc>
      </w:tr>
      <w:tr>
        <w:tc>
          <w:tcPr>
            <w:tcW w:type="dxa" w:w="3022"/>
          </w:tcPr>
          <w:p>
            <w:r/>
            <w:r>
              <w:rPr>
                <w:rFonts w:ascii="Times New Roman" w:hAnsi="Times New Roman" w:eastAsia="仿宋"/>
                <w:b w:val="0"/>
                <w:sz w:val="20"/>
              </w:rPr>
              <w:t>笼统写「全权」的效果</w:t>
            </w:r>
          </w:p>
        </w:tc>
        <w:tc>
          <w:tcPr>
            <w:tcW w:type="dxa" w:w="3022"/>
          </w:tcPr>
          <w:p>
            <w:r/>
            <w:r>
              <w:rPr>
                <w:rFonts w:ascii="Times New Roman" w:hAnsi="Times New Roman" w:eastAsia="仿宋"/>
                <w:b w:val="0"/>
                <w:sz w:val="20"/>
              </w:rPr>
              <w:t>不构成特别授权：和解、承认/放弃/变更诉讼请求、反诉、上诉须逐项明示</w:t>
            </w:r>
          </w:p>
        </w:tc>
        <w:tc>
          <w:tcPr>
            <w:tcW w:type="dxa" w:w="3022"/>
          </w:tcPr>
          <w:p>
            <w:r/>
            <w:r>
              <w:rPr>
                <w:rFonts w:ascii="Times New Roman" w:hAnsi="Times New Roman" w:eastAsia="仿宋"/>
                <w:b w:val="0"/>
                <w:sz w:val="20"/>
              </w:rPr>
              <w:t>不当然打折：按授权文件文义＋双方言行综合认定权限范围，「全权」表述本身就是权限证据之一</w:t>
            </w:r>
          </w:p>
        </w:tc>
      </w:tr>
      <w:tr>
        <w:tc>
          <w:tcPr>
            <w:tcW w:type="dxa" w:w="3022"/>
          </w:tcPr>
          <w:p>
            <w:r/>
            <w:r>
              <w:rPr>
                <w:rFonts w:ascii="Times New Roman" w:hAnsi="Times New Roman" w:eastAsia="仿宋"/>
                <w:b w:val="0"/>
                <w:sz w:val="20"/>
              </w:rPr>
              <w:t>权限存疑时的出路</w:t>
            </w:r>
          </w:p>
        </w:tc>
        <w:tc>
          <w:tcPr>
            <w:tcW w:type="dxa" w:w="3022"/>
          </w:tcPr>
          <w:p>
            <w:r/>
            <w:r>
              <w:rPr>
                <w:rFonts w:ascii="Times New Roman" w:hAnsi="Times New Roman" w:eastAsia="仿宋"/>
                <w:b w:val="0"/>
                <w:sz w:val="20"/>
              </w:rPr>
              <w:t>补办逐项明示的特别授权</w:t>
            </w:r>
          </w:p>
        </w:tc>
        <w:tc>
          <w:tcPr>
            <w:tcW w:type="dxa" w:w="3022"/>
          </w:tcPr>
          <w:p>
            <w:r/>
            <w:r>
              <w:rPr>
                <w:rFonts w:ascii="Times New Roman" w:hAnsi="Times New Roman" w:eastAsia="仿宋"/>
                <w:b w:val="0"/>
                <w:sz w:val="20"/>
              </w:rPr>
              <w:t>被代理人追认（第171条）；相对人有理由相信有代理权的，构成表见代理（第172条）</w:t>
            </w:r>
          </w:p>
        </w:tc>
      </w:tr>
      <w:tr>
        <w:tc>
          <w:tcPr>
            <w:tcW w:type="dxa" w:w="3022"/>
          </w:tcPr>
          <w:p>
            <w:r/>
            <w:r>
              <w:rPr>
                <w:rFonts w:ascii="Times New Roman" w:hAnsi="Times New Roman" w:eastAsia="仿宋"/>
                <w:b w:val="0"/>
                <w:sz w:val="20"/>
              </w:rPr>
              <w:t>本人翻悔的空间</w:t>
            </w:r>
          </w:p>
        </w:tc>
        <w:tc>
          <w:tcPr>
            <w:tcW w:type="dxa" w:w="3022"/>
          </w:tcPr>
          <w:p>
            <w:r/>
            <w:r>
              <w:rPr>
                <w:rFonts w:ascii="Times New Roman" w:hAnsi="Times New Roman" w:eastAsia="仿宋"/>
                <w:b w:val="0"/>
                <w:sz w:val="20"/>
              </w:rPr>
              <w:t>未获特别授权的事项，本人可不受拘束</w:t>
            </w:r>
          </w:p>
        </w:tc>
        <w:tc>
          <w:tcPr>
            <w:tcW w:type="dxa" w:w="3022"/>
          </w:tcPr>
          <w:p>
            <w:r/>
            <w:r>
              <w:rPr>
                <w:rFonts w:ascii="Times New Roman" w:hAnsi="Times New Roman" w:eastAsia="仿宋"/>
                <w:b w:val="0"/>
                <w:sz w:val="20"/>
              </w:rPr>
              <w:t>授权真实且在权限内的，依第162条直接对本人生效，翻悔不成</w:t>
            </w:r>
          </w:p>
        </w:tc>
      </w:tr>
    </w:tbl>
    <w:p>
      <w:pPr>
        <w:spacing w:after="40"/>
      </w:pPr>
    </w:p>
    <w:p>
      <w:pPr>
        <w:spacing w:after="100"/>
      </w:pPr>
      <w:r>
        <w:rPr>
          <w:rFonts w:ascii="Times New Roman" w:hAnsi="Times New Roman" w:eastAsia="仿宋"/>
          <w:b w:val="0"/>
          <w:color w:val="333333"/>
          <w:sz w:val="21"/>
        </w:rPr>
        <w:t>【说明】需要如实交代的一点：就「诉讼外协商中笼统『全权』授权的效力」，检索不到司法解释层面的直接规定；「第89条只管诉讼代理」的限缩读法来自个案裁判观点，不是通说。但它与条文的文义和体系位置吻合——该款前一句讲的正是授权委托书应在开庭审理前送交法院，整条都在诉讼代理的语境里。</w:t>
      </w:r>
    </w:p>
    <w:p>
      <w:pPr>
        <w:spacing w:before="160" w:after="80"/>
      </w:pPr>
      <w:r>
        <w:rPr>
          <w:rFonts w:ascii="Times New Roman" w:hAnsi="Times New Roman" w:eastAsia="仿宋"/>
          <w:b/>
          <w:sz w:val="26"/>
        </w:rPr>
        <w:t>三、诉讼外的代理怎么判：一架三级的梯子</w:t>
      </w:r>
    </w:p>
    <w:p>
      <w:pPr>
        <w:spacing w:after="100"/>
      </w:pPr>
      <w:r>
        <w:rPr>
          <w:rFonts w:ascii="Times New Roman" w:hAnsi="Times New Roman" w:eastAsia="仿宋"/>
          <w:b w:val="0"/>
          <w:sz w:val="22"/>
        </w:rPr>
        <w:t>民法典的判断路径是一架从上往下爬的梯子：</w:t>
      </w:r>
    </w:p>
    <w:p>
      <w:pPr>
        <w:spacing w:before="120" w:after="60"/>
      </w:pPr>
      <w:r>
        <w:rPr>
          <w:rFonts w:ascii="Times New Roman" w:hAnsi="Times New Roman" w:eastAsia="仿宋"/>
          <w:b/>
          <w:sz w:val="24"/>
        </w:rPr>
        <w:t>第一级：有权代理（第162条）</w:t>
      </w:r>
    </w:p>
    <w:p>
      <w:pPr>
        <w:spacing w:after="100"/>
      </w:pPr>
      <w:r>
        <w:rPr>
          <w:rFonts w:ascii="Times New Roman" w:hAnsi="Times New Roman" w:eastAsia="仿宋"/>
          <w:b w:val="0"/>
          <w:sz w:val="22"/>
        </w:rPr>
        <w:t>代理人在代理权限内、以被代理人名义实施的民事法律行为，对被代理人发生效力——两个要件缺一不可。授权采用书面形式的，授权委托书应载明代理人的姓名或者名称、代理事项、权限和期限，并由被代理人签名或盖章（第165条）。注意措辞是「采用书面形式的」——书面不是委托授权的强制生效要件，微信里的明确授权表示同样可以构成授权。</w:t>
      </w:r>
    </w:p>
    <w:p>
      <w:pPr>
        <w:spacing w:before="120" w:after="60"/>
      </w:pPr>
      <w:r>
        <w:rPr>
          <w:rFonts w:ascii="Times New Roman" w:hAnsi="Times New Roman" w:eastAsia="仿宋"/>
          <w:b/>
          <w:sz w:val="24"/>
        </w:rPr>
        <w:t>第二级：表见代理（第172条）</w:t>
      </w:r>
    </w:p>
    <w:p>
      <w:pPr>
        <w:spacing w:after="100"/>
      </w:pPr>
      <w:r>
        <w:rPr>
          <w:rFonts w:ascii="Times New Roman" w:hAnsi="Times New Roman" w:eastAsia="仿宋"/>
          <w:b w:val="0"/>
          <w:sz w:val="22"/>
        </w:rPr>
        <w:t>就算权限有瑕疵，只要相对人有理由相信行为人有代理权，代理行为有效——权利外观，加相对人的善意无过失。</w:t>
      </w:r>
    </w:p>
    <w:p>
      <w:pPr>
        <w:spacing w:before="120" w:after="60"/>
      </w:pPr>
      <w:r>
        <w:rPr>
          <w:rFonts w:ascii="Times New Roman" w:hAnsi="Times New Roman" w:eastAsia="仿宋"/>
          <w:b/>
          <w:sz w:val="24"/>
        </w:rPr>
        <w:t>第三级：无权代理（第171条）</w:t>
      </w:r>
    </w:p>
    <w:p>
      <w:pPr>
        <w:spacing w:after="100"/>
      </w:pPr>
      <w:r>
        <w:rPr>
          <w:rFonts w:ascii="Times New Roman" w:hAnsi="Times New Roman" w:eastAsia="仿宋"/>
          <w:b w:val="0"/>
          <w:sz w:val="22"/>
        </w:rPr>
        <w:t>前两级都够不着，才落到无权代理：未经被代理人追认，对被代理人不发生效力。</w:t>
      </w:r>
    </w:p>
    <w:p>
      <w:pPr>
        <w:spacing w:after="100"/>
      </w:pPr>
      <w:r>
        <w:rPr>
          <w:rFonts w:ascii="Times New Roman" w:hAnsi="Times New Roman" w:eastAsia="仿宋"/>
          <w:b w:val="0"/>
          <w:sz w:val="22"/>
        </w:rPr>
        <w:t>回到场景。有裁判观点在认定诉讼外代理有效、结算文件拘束本人时，综合考察的是实务中常见的一组授权印证因素：</w:t>
      </w:r>
    </w:p>
    <w:p>
      <w:pPr>
        <w:spacing w:after="100"/>
      </w:pPr>
      <w:r>
        <w:rPr>
          <w:rFonts w:ascii="Times New Roman" w:hAnsi="Times New Roman" w:eastAsia="仿宋"/>
          <w:b w:val="0"/>
          <w:sz w:val="22"/>
        </w:rPr>
        <w:t>· 本人出具了写明「全权处理」字样的书面授权委托书；</w:t>
      </w:r>
    </w:p>
    <w:p>
      <w:pPr>
        <w:spacing w:after="100"/>
      </w:pPr>
      <w:r>
        <w:rPr>
          <w:rFonts w:ascii="Times New Roman" w:hAnsi="Times New Roman" w:eastAsia="仿宋"/>
          <w:b w:val="0"/>
          <w:sz w:val="22"/>
        </w:rPr>
        <w:t>· 本人在微信等聊天场合另有明确的授权表示（如表示受托人「可以做主」）；</w:t>
      </w:r>
    </w:p>
    <w:p>
      <w:pPr>
        <w:spacing w:after="100"/>
      </w:pPr>
      <w:r>
        <w:rPr>
          <w:rFonts w:ascii="Times New Roman" w:hAnsi="Times New Roman" w:eastAsia="仿宋"/>
          <w:b w:val="0"/>
          <w:sz w:val="22"/>
        </w:rPr>
        <w:t>· 受托人在协商全程从未表示所谈方案须本人另行确认；</w:t>
      </w:r>
    </w:p>
    <w:p>
      <w:pPr>
        <w:spacing w:after="100"/>
      </w:pPr>
      <w:r>
        <w:rPr>
          <w:rFonts w:ascii="Times New Roman" w:hAnsi="Times New Roman" w:eastAsia="仿宋"/>
          <w:b w:val="0"/>
          <w:sz w:val="22"/>
        </w:rPr>
        <w:t>· 协商达成的条件未超出本人事前认可的范围；</w:t>
      </w:r>
    </w:p>
    <w:p>
      <w:pPr>
        <w:spacing w:after="100"/>
      </w:pPr>
      <w:r>
        <w:rPr>
          <w:rFonts w:ascii="Times New Roman" w:hAnsi="Times New Roman" w:eastAsia="仿宋"/>
          <w:b w:val="0"/>
          <w:sz w:val="22"/>
        </w:rPr>
        <w:t>· 最妙的是最后一环：本人反悔后，仍由受托人以代理人身份对外沟通——这反过来印证授权真实。</w:t>
      </w:r>
    </w:p>
    <w:p>
      <w:pPr>
        <w:spacing w:after="100"/>
      </w:pPr>
      <w:r>
        <w:rPr>
          <w:rFonts w:ascii="Times New Roman" w:hAnsi="Times New Roman" w:eastAsia="仿宋"/>
          <w:b w:val="0"/>
          <w:sz w:val="22"/>
        </w:rPr>
        <w:t>五个环节没有一个单独致命，合在一起就很难翻：要翻悔，得证明的是「授权不存在或早已终止」，而不是「我后悔了」——在自己出具过书面授权、又持续让代理人出面的情况下，这几乎无从证起。</w:t>
      </w:r>
    </w:p>
    <w:p>
      <w:pPr>
        <w:spacing w:before="160" w:after="80"/>
      </w:pPr>
      <w:r>
        <w:rPr>
          <w:rFonts w:ascii="Times New Roman" w:hAnsi="Times New Roman" w:eastAsia="仿宋"/>
          <w:b/>
          <w:sz w:val="26"/>
        </w:rPr>
        <w:t>四、会议纪要不是备忘，是结算协议</w:t>
      </w:r>
    </w:p>
    <w:p>
      <w:pPr>
        <w:spacing w:after="100"/>
      </w:pPr>
      <w:r>
        <w:rPr>
          <w:rFonts w:ascii="Times New Roman" w:hAnsi="Times New Roman" w:eastAsia="仿宋"/>
          <w:b w:val="0"/>
          <w:sz w:val="22"/>
        </w:rPr>
        <w:t>第二句抗辩是：「纪要我没签字，而且底层的代持是无效的，纪要跟着无效。」这里要先给会议纪要定性。</w:t>
      </w:r>
    </w:p>
    <w:p>
      <w:pPr>
        <w:spacing w:after="100"/>
      </w:pPr>
      <w:r>
        <w:rPr>
          <w:rFonts w:ascii="Times New Roman" w:hAnsi="Times New Roman" w:eastAsia="仿宋"/>
          <w:b w:val="0"/>
          <w:sz w:val="22"/>
        </w:rPr>
        <w:t>这类纪要的内容通常是：对既有往来的收付款时间、金额逐笔确认无争议；对剩余债务重新约定利率与清偿顺序。它不是对将来合作的意向表达，而是对既有债权债务关系进行清理、结算而重新达成的一致意思表示——一份结算协议。只要行为人有相应民事行为能力、意思表示真实、不违反法律行政法规的强制性规定也不违背公序良俗（民法典第143条），它就有效。</w:t>
      </w:r>
    </w:p>
    <w:p>
      <w:pPr>
        <w:spacing w:after="100"/>
      </w:pPr>
      <w:r>
        <w:rPr>
          <w:rFonts w:ascii="Times New Roman" w:hAnsi="Times New Roman" w:eastAsia="仿宋"/>
          <w:b w:val="0"/>
          <w:sz w:val="22"/>
        </w:rPr>
        <w:t>关键在于它的独立性。有裁判观点认为：基础法律关系无效，不影响当事人就无效后果所作结算安排的效力。逻辑并不玄：代持被认定无效后，法定路径本来就是返还财产、不能返还时折价补偿（民法典第157条）；折价按什么标准算，法律没有规定必须评估——双方用结算文件谈定标准，是对无效后果的处分，不是对无效行为的延续。</w:t>
      </w:r>
    </w:p>
    <w:p>
      <w:pPr>
        <w:spacing w:after="100"/>
      </w:pPr>
      <w:r>
        <w:rPr>
          <w:rFonts w:ascii="Times New Roman" w:hAnsi="Times New Roman" w:eastAsia="仿宋"/>
          <w:b w:val="0"/>
          <w:color w:val="333333"/>
          <w:sz w:val="21"/>
        </w:rPr>
        <w:t>【要点】代持可以无效，但「无效之后怎么算账」的合意本身可以有效。基础关系的死亡证明，不是结算协议的死亡证明。</w:t>
      </w:r>
    </w:p>
    <w:p>
      <w:pPr>
        <w:spacing w:after="100"/>
      </w:pPr>
      <w:r>
        <w:rPr>
          <w:rFonts w:ascii="Times New Roman" w:hAnsi="Times New Roman" w:eastAsia="仿宋"/>
          <w:b w:val="0"/>
          <w:sz w:val="22"/>
        </w:rPr>
        <w:t>当然，结算文件里的利率约定不是无边界的。就民间借贷部分，约定利率超过合同成立时一年期贷款市场报价利率（LPR）四倍的部分不受支持（《最高人民法院关于审理民间借贷案件适用法律若干问题的规定》（2020年第二次修正）第25条）；逾期利率有约定的从约定，同样以合同成立时一年期LPR四倍为限（第28条）。注意两条的锚点都是「合同成立时」，不是起诉时。</w:t>
      </w:r>
    </w:p>
    <w:p>
      <w:pPr>
        <w:spacing w:after="100"/>
      </w:pPr>
      <w:r>
        <w:rPr>
          <w:rFonts w:ascii="Times New Roman" w:hAnsi="Times New Roman" w:eastAsia="仿宋"/>
          <w:b w:val="0"/>
          <w:color w:val="333333"/>
          <w:sz w:val="21"/>
        </w:rPr>
        <w:t>【说明】时间衔接提示：上述四倍上限来自该司法解释2020年第二次修正后的现行版本；修正施行前已成立的借贷合同如何衔接适用，该解释另有过渡条款，本文未逐条核验，个案引用前应另行调取原文确认。</w:t>
      </w:r>
    </w:p>
    <w:p>
      <w:pPr>
        <w:spacing w:before="160" w:after="80"/>
      </w:pPr>
      <w:r>
        <w:rPr>
          <w:rFonts w:ascii="Times New Roman" w:hAnsi="Times New Roman" w:eastAsia="仿宋"/>
          <w:b/>
          <w:sz w:val="26"/>
        </w:rPr>
        <w:t>五、群里回个表情，算不算确认</w:t>
      </w:r>
    </w:p>
    <w:p>
      <w:pPr>
        <w:spacing w:after="100"/>
      </w:pPr>
      <w:r>
        <w:rPr>
          <w:rFonts w:ascii="Times New Roman" w:hAnsi="Times New Roman" w:eastAsia="仿宋"/>
          <w:b w:val="0"/>
          <w:sz w:val="22"/>
        </w:rPr>
        <w:t>场景里还有一个细节：纪要发进群里，有人回「确认」，有人只点了个表情。表情算不算意思表示？</w:t>
      </w:r>
    </w:p>
    <w:p>
      <w:pPr>
        <w:spacing w:after="100"/>
      </w:pPr>
      <w:r>
        <w:rPr>
          <w:rFonts w:ascii="Times New Roman" w:hAnsi="Times New Roman" w:eastAsia="仿宋"/>
          <w:b w:val="0"/>
          <w:color w:val="333333"/>
          <w:sz w:val="21"/>
        </w:rPr>
        <w:t>【提醒】这是一个必须如实报告分歧的问题。有裁判在完整证据链下认定「群内发送纪要＋群成员回复确认（含表情）」成立结算合意——但那是在书面授权委托书、聊天记录中的授权表示、代理人事后行为、协商条件未超对方事前认可范围等一整套证据相互印证的前提下。单独一个表情符号能否构成同意，各地裁判存在分歧，检索不到统一规则。稳妥做法只有一个：关键节点不要停留在表情——让对方打出「确认」两个字，或者补一份签署扫描件。</w:t>
      </w:r>
    </w:p>
    <w:p>
      <w:pPr>
        <w:spacing w:after="100"/>
      </w:pPr>
      <w:r>
        <w:rPr>
          <w:rFonts w:ascii="Times New Roman" w:hAnsi="Times New Roman" w:eastAsia="仿宋"/>
          <w:b w:val="0"/>
          <w:sz w:val="22"/>
        </w:rPr>
        <w:t>换句话说：表情是压舱的砝码，不是承重的梁。真正承重的，是授权链和纪要文本本身。</w:t>
      </w:r>
    </w:p>
    <w:p>
      <w:pPr>
        <w:spacing w:before="160" w:after="80"/>
      </w:pPr>
      <w:r>
        <w:rPr>
          <w:rFonts w:ascii="Times New Roman" w:hAnsi="Times New Roman" w:eastAsia="仿宋"/>
          <w:b/>
          <w:sz w:val="26"/>
        </w:rPr>
        <w:t>六、诉讼时效：三年、重启，与「人在国外」</w:t>
      </w:r>
    </w:p>
    <w:p>
      <w:pPr>
        <w:spacing w:after="100"/>
      </w:pPr>
      <w:r>
        <w:rPr>
          <w:rFonts w:ascii="Times New Roman" w:hAnsi="Times New Roman" w:eastAsia="仿宋"/>
          <w:b w:val="0"/>
          <w:sz w:val="22"/>
        </w:rPr>
        <w:t>第三句抗辩是时效。《民法典》第188条：向人民法院请求保护民事权利的诉讼时效期间为三年，自权利人知道或者应当知道权利受到损害以及义务人之日起计算——起算要同时知道「损害」和「义务人」两件事。</w:t>
      </w:r>
    </w:p>
    <w:p>
      <w:pPr>
        <w:spacing w:after="100"/>
      </w:pPr>
      <w:r>
        <w:rPr>
          <w:rFonts w:ascii="Times New Roman" w:hAnsi="Times New Roman" w:eastAsia="仿宋"/>
          <w:b w:val="0"/>
          <w:sz w:val="22"/>
        </w:rPr>
        <w:t>但时效不是一根只会越烧越短的引线。第195条列了四类中断事由：权利人向义务人提出履行请求；义务人同意履行义务；提起诉讼或申请仲裁；与提起诉讼、申请仲裁具有同等效力的其他情形。中断后，时效期间重新计算；其中提起诉讼、申请仲裁的，自有关程序终结时起重新计算。</w:t>
      </w:r>
    </w:p>
    <w:p>
      <w:pPr>
        <w:spacing w:after="100"/>
      </w:pPr>
      <w:r>
        <w:rPr>
          <w:rFonts w:ascii="Times New Roman" w:hAnsi="Times New Roman" w:eastAsia="仿宋"/>
          <w:b w:val="0"/>
          <w:sz w:val="22"/>
        </w:rPr>
        <w:t>对账和结算纪要，恰好踩在第（二）项上。双方以会议纪要对彼此权利义务重新确认、约定新的计息与清偿安排，属于义务人同意履行义务的典型形态——有裁判观点据此认定，债权人依重新确认的债务起诉，时效自新的确认重新起算。为便于说明，设：某笔款项原定清偿期届满于第1年年初，三年时效本应在第4年年初届满；双方在第3年年中对账并形成确认债务的纪要，时效即重新起算，债权人在第6年年中之前起诉都不迟。</w:t>
      </w:r>
    </w:p>
    <w:p>
      <w:pPr>
        <w:spacing w:after="100"/>
      </w:pPr>
      <w:r>
        <w:rPr>
          <w:rFonts w:ascii="Times New Roman" w:hAnsi="Times New Roman" w:eastAsia="仿宋"/>
          <w:b w:val="0"/>
          <w:sz w:val="22"/>
        </w:rPr>
        <w:t>对债务人而言，这是最容易被自己击穿的抗辩：想主张时效，就不要再确认债务。一边参与对账、一边指望时效，两头都落空。当然，时效重启的前提是纪要有效——如果授权链证据不足导致纪要不拘束本人，时效结论也会跟着反转，这条因果链要完整地看。</w:t>
      </w:r>
    </w:p>
    <w:p>
      <w:pPr>
        <w:spacing w:after="100"/>
      </w:pPr>
      <w:r>
        <w:rPr>
          <w:rFonts w:ascii="Times New Roman" w:hAnsi="Times New Roman" w:eastAsia="仿宋"/>
          <w:b w:val="0"/>
          <w:sz w:val="22"/>
        </w:rPr>
        <w:t>反过来的误读也要防：债权人在聊天里说过「确认收款」「往来时间全部对清楚了」，债务人能不能反手主张「你都确认了，说明钱早还清了」？有裁判观点认为不能——这类表述属于核对往来款项的对账行为，确认的是「哪几笔、什么时候、多少钱」，不是「债务已全部消灭」。对账记录固定收付事实，替代不了终结性的清偿确认文件。</w:t>
      </w:r>
    </w:p>
    <w:p>
      <w:pPr>
        <w:spacing w:after="100"/>
      </w:pPr>
      <w:r>
        <w:rPr>
          <w:rFonts w:ascii="Times New Roman" w:hAnsi="Times New Roman" w:eastAsia="仿宋"/>
          <w:b w:val="0"/>
          <w:sz w:val="22"/>
        </w:rPr>
        <w:t>至于「对方长期在国外、联系不上，所以没法还钱」——这个抗辩要有失联的客观证据。如果双方一直保持正常的往来沟通，持续的沟通记录会直接证伪「无法联系」，反而拖累整套抗辩的可信度。真遇到债权人下落不明的，正确动作是固定证据、以可留痕方式催告受领，并请律师评估法定的替代履行路径，而不是单等时效经过。</w:t>
      </w:r>
    </w:p>
    <w:p>
      <w:pPr>
        <w:spacing w:before="160" w:after="80"/>
      </w:pPr>
      <w:r>
        <w:rPr>
          <w:rFonts w:ascii="Times New Roman" w:hAnsi="Times New Roman" w:eastAsia="仿宋"/>
          <w:b/>
          <w:sz w:val="26"/>
        </w:rPr>
        <w:t>七、双向提示：同一份纪要，两边的动作清单</w:t>
      </w:r>
    </w:p>
    <w:tbl>
      <w:tblPr>
        <w:tblStyle w:val="TableGrid"/>
        <w:tblW w:type="auto" w:w="0"/>
        <w:tblLook w:firstColumn="1" w:firstRow="1" w:lastColumn="0" w:lastRow="0" w:noHBand="0" w:noVBand="1" w:val="04A0"/>
      </w:tblPr>
      <w:tblGrid>
        <w:gridCol w:w="3022"/>
        <w:gridCol w:w="3022"/>
        <w:gridCol w:w="3022"/>
      </w:tblGrid>
      <w:tr>
        <w:tc>
          <w:tcPr>
            <w:tcW w:type="dxa" w:w="3022"/>
          </w:tcPr>
          <w:p>
            <w:r/>
            <w:r>
              <w:rPr>
                <w:rFonts w:ascii="Times New Roman" w:hAnsi="Times New Roman" w:eastAsia="仿宋"/>
                <w:b/>
                <w:sz w:val="20"/>
              </w:rPr>
              <w:t>节点</w:t>
            </w:r>
          </w:p>
        </w:tc>
        <w:tc>
          <w:tcPr>
            <w:tcW w:type="dxa" w:w="3022"/>
          </w:tcPr>
          <w:p>
            <w:r/>
            <w:r>
              <w:rPr>
                <w:rFonts w:ascii="Times New Roman" w:hAnsi="Times New Roman" w:eastAsia="仿宋"/>
                <w:b/>
                <w:sz w:val="20"/>
              </w:rPr>
              <w:t>债权人（出借人／出资人）</w:t>
            </w:r>
          </w:p>
        </w:tc>
        <w:tc>
          <w:tcPr>
            <w:tcW w:type="dxa" w:w="3022"/>
          </w:tcPr>
          <w:p>
            <w:r/>
            <w:r>
              <w:rPr>
                <w:rFonts w:ascii="Times New Roman" w:hAnsi="Times New Roman" w:eastAsia="仿宋"/>
                <w:b/>
                <w:sz w:val="20"/>
              </w:rPr>
              <w:t>债务人（老板／实控人）</w:t>
            </w:r>
          </w:p>
        </w:tc>
      </w:tr>
      <w:tr>
        <w:tc>
          <w:tcPr>
            <w:tcW w:type="dxa" w:w="3022"/>
          </w:tcPr>
          <w:p>
            <w:r/>
            <w:r>
              <w:rPr>
                <w:rFonts w:ascii="Times New Roman" w:hAnsi="Times New Roman" w:eastAsia="仿宋"/>
                <w:b w:val="0"/>
                <w:sz w:val="20"/>
              </w:rPr>
              <w:t>争议发生后</w:t>
            </w:r>
          </w:p>
        </w:tc>
        <w:tc>
          <w:tcPr>
            <w:tcW w:type="dxa" w:w="3022"/>
          </w:tcPr>
          <w:p>
            <w:r/>
            <w:r>
              <w:rPr>
                <w:rFonts w:ascii="Times New Roman" w:hAnsi="Times New Roman" w:eastAsia="仿宋"/>
                <w:b w:val="0"/>
                <w:sz w:val="20"/>
              </w:rPr>
              <w:t>尽快促成书面结算文件——它同时干两件事：固定金额、重启时效</w:t>
            </w:r>
          </w:p>
        </w:tc>
        <w:tc>
          <w:tcPr>
            <w:tcW w:type="dxa" w:w="3022"/>
          </w:tcPr>
          <w:p>
            <w:r/>
            <w:r>
              <w:rPr>
                <w:rFonts w:ascii="Times New Roman" w:hAnsi="Times New Roman" w:eastAsia="仿宋"/>
                <w:b w:val="0"/>
                <w:sz w:val="20"/>
              </w:rPr>
              <w:t>决定谈之前先想清楚授权范围；不想全交出去，就别说「他可以全权做主」</w:t>
            </w:r>
          </w:p>
        </w:tc>
      </w:tr>
      <w:tr>
        <w:tc>
          <w:tcPr>
            <w:tcW w:type="dxa" w:w="3022"/>
          </w:tcPr>
          <w:p>
            <w:r/>
            <w:r>
              <w:rPr>
                <w:rFonts w:ascii="Times New Roman" w:hAnsi="Times New Roman" w:eastAsia="仿宋"/>
                <w:b w:val="0"/>
                <w:sz w:val="20"/>
              </w:rPr>
              <w:t>授权环节</w:t>
            </w:r>
          </w:p>
        </w:tc>
        <w:tc>
          <w:tcPr>
            <w:tcW w:type="dxa" w:w="3022"/>
          </w:tcPr>
          <w:p>
            <w:r/>
            <w:r>
              <w:rPr>
                <w:rFonts w:ascii="Times New Roman" w:hAnsi="Times New Roman" w:eastAsia="仿宋"/>
                <w:b w:val="0"/>
                <w:sz w:val="20"/>
              </w:rPr>
              <w:t>保存对方的授权证据链：微信授权表示＋书面授权委托书＋代理人事后行为</w:t>
            </w:r>
          </w:p>
        </w:tc>
        <w:tc>
          <w:tcPr>
            <w:tcW w:type="dxa" w:w="3022"/>
          </w:tcPr>
          <w:p>
            <w:r/>
            <w:r>
              <w:rPr>
                <w:rFonts w:ascii="Times New Roman" w:hAnsi="Times New Roman" w:eastAsia="仿宋"/>
                <w:b w:val="0"/>
                <w:sz w:val="20"/>
              </w:rPr>
              <w:t>要保留最终拍板权，就在授权委托书中写明「所达成方案须经本人书面确认后方对本人生效」，并且别再让代理人事后以代理人身份传话</w:t>
            </w:r>
          </w:p>
        </w:tc>
      </w:tr>
      <w:tr>
        <w:tc>
          <w:tcPr>
            <w:tcW w:type="dxa" w:w="3022"/>
          </w:tcPr>
          <w:p>
            <w:r/>
            <w:r>
              <w:rPr>
                <w:rFonts w:ascii="Times New Roman" w:hAnsi="Times New Roman" w:eastAsia="仿宋"/>
                <w:b w:val="0"/>
                <w:sz w:val="20"/>
              </w:rPr>
              <w:t>收付款过程中</w:t>
            </w:r>
          </w:p>
        </w:tc>
        <w:tc>
          <w:tcPr>
            <w:tcW w:type="dxa" w:w="3022"/>
          </w:tcPr>
          <w:p>
            <w:r/>
            <w:r>
              <w:rPr>
                <w:rFonts w:ascii="Times New Roman" w:hAnsi="Times New Roman" w:eastAsia="仿宋"/>
                <w:b w:val="0"/>
                <w:sz w:val="20"/>
              </w:rPr>
              <w:t>接受迟延还款时书面保留逾期利息主张——长期无异议逐笔确认收款，有裁判会认定还款全额冲抵本金、利息主张难以补救（个案认定，非普遍规则）</w:t>
            </w:r>
          </w:p>
        </w:tc>
        <w:tc>
          <w:tcPr>
            <w:tcW w:type="dxa" w:w="3022"/>
          </w:tcPr>
          <w:p>
            <w:r/>
            <w:r>
              <w:rPr>
                <w:rFonts w:ascii="Times New Roman" w:hAnsi="Times New Roman" w:eastAsia="仿宋"/>
                <w:b w:val="0"/>
                <w:sz w:val="20"/>
              </w:rPr>
              <w:t>逐笔写明款项性质，结清时取得终结性确认文件；对方的「收到」「对清了」只是对账，挡不住余债主张</w:t>
            </w:r>
          </w:p>
        </w:tc>
      </w:tr>
      <w:tr>
        <w:tc>
          <w:tcPr>
            <w:tcW w:type="dxa" w:w="3022"/>
          </w:tcPr>
          <w:p>
            <w:r/>
            <w:r>
              <w:rPr>
                <w:rFonts w:ascii="Times New Roman" w:hAnsi="Times New Roman" w:eastAsia="仿宋"/>
                <w:b w:val="0"/>
                <w:sz w:val="20"/>
              </w:rPr>
              <w:t>时效</w:t>
            </w:r>
          </w:p>
        </w:tc>
        <w:tc>
          <w:tcPr>
            <w:tcW w:type="dxa" w:w="3022"/>
          </w:tcPr>
          <w:p>
            <w:r/>
            <w:r>
              <w:rPr>
                <w:rFonts w:ascii="Times New Roman" w:hAnsi="Times New Roman" w:eastAsia="仿宋"/>
                <w:b w:val="0"/>
                <w:sz w:val="20"/>
              </w:rPr>
              <w:t>含义务人确认剩余债务内容的对账、纪要会重启时效——这是结算文件的隐藏价值；纯粹核对收付事实的对账，中断效力存在个案争议</w:t>
            </w:r>
          </w:p>
        </w:tc>
        <w:tc>
          <w:tcPr>
            <w:tcW w:type="dxa" w:w="3022"/>
          </w:tcPr>
          <w:p>
            <w:r/>
            <w:r>
              <w:rPr>
                <w:rFonts w:ascii="Times New Roman" w:hAnsi="Times New Roman" w:eastAsia="仿宋"/>
                <w:b w:val="0"/>
                <w:sz w:val="20"/>
              </w:rPr>
              <w:t>想主张时效就不要再确认债务；「对方在国外」须有失联的客观证据</w:t>
            </w:r>
          </w:p>
        </w:tc>
      </w:tr>
    </w:tbl>
    <w:p>
      <w:pPr>
        <w:spacing w:after="40"/>
      </w:pPr>
    </w:p>
    <w:p>
      <w:pPr>
        <w:spacing w:before="120" w:after="60"/>
      </w:pPr>
      <w:r>
        <w:rPr>
          <w:rFonts w:ascii="Times New Roman" w:hAnsi="Times New Roman" w:eastAsia="仿宋"/>
          <w:b/>
          <w:sz w:val="24"/>
        </w:rPr>
        <w:t>实务清单</w:t>
      </w:r>
    </w:p>
    <w:p>
      <w:pPr>
        <w:spacing w:after="100"/>
      </w:pPr>
      <w:r>
        <w:rPr>
          <w:rFonts w:ascii="Times New Roman" w:hAnsi="Times New Roman" w:eastAsia="仿宋"/>
          <w:b w:val="0"/>
          <w:sz w:val="22"/>
        </w:rPr>
        <w:t>· 结算文件哪怕只有一页，也要写全三件事：截至某日的对账结论、剩余债务金额与计算规则、清偿安排；</w:t>
      </w:r>
    </w:p>
    <w:p>
      <w:pPr>
        <w:spacing w:after="100"/>
      </w:pPr>
      <w:r>
        <w:rPr>
          <w:rFonts w:ascii="Times New Roman" w:hAnsi="Times New Roman" w:eastAsia="仿宋"/>
          <w:b w:val="0"/>
          <w:sz w:val="22"/>
        </w:rPr>
        <w:t>· 微信里达成的关键合意，当天整理成文字让对方回「确认」，重要的补一份签署扫描件；</w:t>
      </w:r>
    </w:p>
    <w:p>
      <w:pPr>
        <w:spacing w:after="100"/>
      </w:pPr>
      <w:r>
        <w:rPr>
          <w:rFonts w:ascii="Times New Roman" w:hAnsi="Times New Roman" w:eastAsia="仿宋"/>
          <w:b w:val="0"/>
          <w:sz w:val="22"/>
        </w:rPr>
        <w:t>· 聊天记录保存原始载体（手机原件），不要只留截图；群成员实名对应关系、转账与聊天的对应关系整理成对照表；</w:t>
      </w:r>
    </w:p>
    <w:p>
      <w:pPr>
        <w:spacing w:after="100"/>
      </w:pPr>
      <w:r>
        <w:rPr>
          <w:rFonts w:ascii="Times New Roman" w:hAnsi="Times New Roman" w:eastAsia="仿宋"/>
          <w:b w:val="0"/>
          <w:sz w:val="22"/>
        </w:rPr>
        <w:t>· 授权委托书按民法典第165条的四要素写：代理人的姓名或者名称、代理事项、权限、期限，本人签名或盖章；</w:t>
      </w:r>
    </w:p>
    <w:p>
      <w:pPr>
        <w:spacing w:after="100"/>
      </w:pPr>
      <w:r>
        <w:rPr>
          <w:rFonts w:ascii="Times New Roman" w:hAnsi="Times New Roman" w:eastAsia="仿宋"/>
          <w:b w:val="0"/>
          <w:sz w:val="22"/>
        </w:rPr>
        <w:t>· 结算文件里的利率条款，按合同成立时一年期LPR四倍上限自查一遍，别让文件带病出生。</w:t>
      </w:r>
    </w:p>
    <w:p>
      <w:pPr>
        <w:spacing w:before="160" w:after="80"/>
      </w:pPr>
      <w:r>
        <w:rPr>
          <w:rFonts w:ascii="Times New Roman" w:hAnsi="Times New Roman" w:eastAsia="仿宋"/>
          <w:b/>
          <w:sz w:val="26"/>
        </w:rPr>
        <w:t>八、常见问答</w:t>
      </w:r>
    </w:p>
    <w:p>
      <w:pPr>
        <w:spacing w:before="80" w:after="40"/>
      </w:pPr>
      <w:r>
        <w:rPr>
          <w:rFonts w:ascii="Times New Roman" w:hAnsi="Times New Roman" w:eastAsia="仿宋"/>
          <w:b/>
          <w:sz w:val="22"/>
        </w:rPr>
        <w:t>Q：微信聊天记录能当证据吗？要注意什么？</w:t>
      </w:r>
    </w:p>
    <w:p>
      <w:pPr>
        <w:spacing w:after="100"/>
      </w:pPr>
      <w:r>
        <w:rPr>
          <w:rFonts w:ascii="Times New Roman" w:hAnsi="Times New Roman" w:eastAsia="仿宋"/>
          <w:b w:val="0"/>
          <w:sz w:val="22"/>
        </w:rPr>
        <w:t>能，而且在这类纠纷里往往是主证据。但按民诉法解释（2022修正）第90条，对自己主张的事实要自己举证，举证不能就承担不利后果。所以别只留截图：保存原始载体（手机原件），关键记录必要时公证。记录躺在你手机里，不等于记录能用。</w:t>
      </w:r>
    </w:p>
    <w:p>
      <w:pPr>
        <w:spacing w:before="80" w:after="40"/>
      </w:pPr>
      <w:r>
        <w:rPr>
          <w:rFonts w:ascii="Times New Roman" w:hAnsi="Times New Roman" w:eastAsia="仿宋"/>
          <w:b/>
          <w:sz w:val="22"/>
        </w:rPr>
        <w:t>Q：老板说「让我的助理全权和你谈」，助理签的纪要，老板还能反悔吗？</w:t>
      </w:r>
    </w:p>
    <w:p>
      <w:pPr>
        <w:spacing w:after="100"/>
      </w:pPr>
      <w:r>
        <w:rPr>
          <w:rFonts w:ascii="Times New Roman" w:hAnsi="Times New Roman" w:eastAsia="仿宋"/>
          <w:b w:val="0"/>
          <w:sz w:val="22"/>
        </w:rPr>
        <w:t>只有一句口头「全权」，还有得争；像本文场景那样——书面全权授权委托书＋聊天记录中明示可以做主＋代理人从未表示须本人确认＋反悔后仍由代理人出面沟通——授权的真实性和权限范围都很难翻。民诉法解释第89条第1款帮不上忙：有裁判观点认为它只规制诉讼代理行为，诉讼外协商按民法典委托代理规则判断。</w:t>
      </w:r>
    </w:p>
    <w:p>
      <w:pPr>
        <w:spacing w:before="80" w:after="40"/>
      </w:pPr>
      <w:r>
        <w:rPr>
          <w:rFonts w:ascii="Times New Roman" w:hAnsi="Times New Roman" w:eastAsia="仿宋"/>
          <w:b/>
          <w:sz w:val="22"/>
        </w:rPr>
        <w:t>Q：我们对过账，我还回了「全部对清楚了」，对方现在拿时效说事，或者说我确认过钱已还清——怎么办？</w:t>
      </w:r>
    </w:p>
    <w:p>
      <w:pPr>
        <w:spacing w:after="100"/>
      </w:pPr>
      <w:r>
        <w:rPr>
          <w:rFonts w:ascii="Times New Roman" w:hAnsi="Times New Roman" w:eastAsia="仿宋"/>
          <w:b w:val="0"/>
          <w:sz w:val="22"/>
        </w:rPr>
        <w:t>两个方向分开看。时效：含义务人确认剩余债务内容的对账、纪要会使时效重新起算（民法典第195条），这类「对过账」通常对债权人有利；纯粹核对收付事实的对账能否中断时效，存在个案争议。清偿：「对清楚了」只是核对收付事实的对账行为，不构成「债务已全部清偿」的确认，拿它抵挡余债主张多半不成。</w:t>
      </w:r>
    </w:p>
    <w:p>
      <w:pPr>
        <w:spacing w:before="80" w:after="40"/>
      </w:pPr>
      <w:r>
        <w:rPr>
          <w:rFonts w:ascii="Times New Roman" w:hAnsi="Times New Roman" w:eastAsia="仿宋"/>
          <w:b/>
          <w:sz w:val="22"/>
        </w:rPr>
        <w:t>Q：我想让人代我谈，但要保留最终决定权，授权文件怎么写？</w:t>
      </w:r>
    </w:p>
    <w:p>
      <w:pPr>
        <w:spacing w:after="100"/>
      </w:pPr>
      <w:r>
        <w:rPr>
          <w:rFonts w:ascii="Times New Roman" w:hAnsi="Times New Roman" w:eastAsia="仿宋"/>
          <w:b w:val="0"/>
          <w:sz w:val="22"/>
        </w:rPr>
        <w:t>三个动作：授权委托书里明写「代理人有权协商，所达成的任何方案须经本人书面确认后方对本人生效」；微信等场合避免出现「他可以全权做主」这类表述；让代理人对外明确「以最终书面确认为准」。反面动作也要记住：谈成后如果反悔，别再让代理人以代理人身份去传话——有裁判观点把这一行为当作授权真实的印证。</w:t>
      </w:r>
    </w:p>
    <w:p>
      <w:pPr>
        <w:spacing w:before="160" w:after="80"/>
      </w:pPr>
      <w:r>
        <w:rPr>
          <w:rFonts w:ascii="Times New Roman" w:hAnsi="Times New Roman" w:eastAsia="仿宋"/>
          <w:b/>
          <w:sz w:val="26"/>
        </w:rPr>
        <w:t>本篇主要依据</w:t>
      </w:r>
    </w:p>
    <w:p>
      <w:pPr>
        <w:spacing w:after="100"/>
      </w:pPr>
      <w:r>
        <w:rPr>
          <w:rFonts w:ascii="Times New Roman" w:hAnsi="Times New Roman" w:eastAsia="仿宋"/>
          <w:b w:val="0"/>
          <w:sz w:val="22"/>
        </w:rPr>
        <w:t>· 《中华人民共和国民法典》（2020年通过）第143、157、161、162、165、171、172、188、195条</w:t>
      </w:r>
    </w:p>
    <w:p>
      <w:pPr>
        <w:spacing w:after="100"/>
      </w:pPr>
      <w:r>
        <w:rPr>
          <w:rFonts w:ascii="Times New Roman" w:hAnsi="Times New Roman" w:eastAsia="仿宋"/>
          <w:b w:val="0"/>
          <w:sz w:val="22"/>
        </w:rPr>
        <w:t>· 《最高人民法院关于适用〈中华人民共和国民事诉讼法〉的解释》（2022修正）第89条第1款、第90条</w:t>
      </w:r>
    </w:p>
    <w:p>
      <w:pPr>
        <w:spacing w:after="100"/>
      </w:pPr>
      <w:r>
        <w:rPr>
          <w:rFonts w:ascii="Times New Roman" w:hAnsi="Times New Roman" w:eastAsia="仿宋"/>
          <w:b w:val="0"/>
          <w:sz w:val="22"/>
        </w:rPr>
        <w:t>· 《最高人民法院关于审理民间借贷案件适用法律若干问题的规定》（2020年第二次修正）第25条、第28条</w:t>
      </w:r>
    </w:p>
    <w:p>
      <w:pPr>
        <w:spacing w:after="100"/>
      </w:pPr>
      <w:r>
        <w:rPr>
          <w:rFonts w:ascii="Times New Roman" w:hAnsi="Times New Roman" w:eastAsia="仿宋"/>
          <w:b w:val="0"/>
          <w:color w:val="333333"/>
          <w:sz w:val="21"/>
        </w:rPr>
        <w:t>【说明】本文为法律问题的研究与学习材料，免费提供，仅供参考学习之用，不构成对任何具体事项的法律意见。所引条文以写作时检索的现行有效版本为准，法律法规及监管口径可能变动，内容可能更新不及时或不准确。具体事项请咨询您的律师。</w:t>
      </w:r>
    </w:p>
    <w:sectPr w:rsidR="00FC693F" w:rsidRPr="0006063C" w:rsidSect="00034616">
      <w:pgSz w:w="12240" w:h="15840"/>
      <w:pgMar w:top="1417" w:right="1587" w:bottom="1417"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仿宋"/>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