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黑体" w:hAnsi="黑体" w:eastAsia="黑体"/>
          <w:b/>
          <w:sz w:val="40"/>
        </w:rPr>
        <w:t>国有上市公司定增，国资到底要批什么？</w:t>
      </w:r>
    </w:p>
    <w:p>
      <w:pPr>
        <w:spacing w:after="320"/>
        <w:jc w:val="center"/>
      </w:pPr>
      <w:r>
        <w:rPr>
          <w:rFonts w:ascii="楷体" w:hAnsi="楷体" w:eastAsia="楷体"/>
          <w:b w:val="0"/>
          <w:color w:val="555555"/>
          <w:sz w:val="24"/>
        </w:rPr>
        <w:t>一份写给项目组的规则地图</w:t>
      </w:r>
    </w:p>
    <w:p>
      <w:pPr>
        <w:ind w:firstLine="440"/>
      </w:pPr>
      <w:r>
        <w:rPr>
          <w:rFonts w:ascii="宋体" w:hAnsi="宋体" w:eastAsia="宋体"/>
          <w:b w:val="0"/>
          <w:sz w:val="22"/>
        </w:rPr>
        <w:t>「国有上市公司要定增，报国资委批一下就行」——这句话在项目会上很常听到，但它至少有三处不准：不一定要报国资委；「定增」在国资口径下不是一件事；而真正决定走哪条路的那个变量，很多项目根本没提前确定。</w:t>
      </w:r>
    </w:p>
    <w:p>
      <w:pPr>
        <w:ind w:firstLine="440"/>
      </w:pPr>
      <w:r>
        <w:rPr>
          <w:rFonts w:ascii="宋体" w:hAnsi="宋体" w:eastAsia="宋体"/>
          <w:b w:val="0"/>
          <w:sz w:val="22"/>
        </w:rPr>
        <w:t>现行核心规范是《上市公司国有股权监督管理办法》（国资委、财政部、证监会令第 36 号，2018 年 5 月 16 日发布，2018 年 7 月 1 日施行，以下简称「36 号令」），效力级别为部门规章。本备忘录按三个层次展开：谁被管、谁来批；批复卡在哪个时点、要交什么；地方国资差在哪里。</w:t>
      </w:r>
    </w:p>
    <w:p>
      <w:pPr>
        <w:spacing w:before="320" w:after="160"/>
      </w:pPr>
      <w:r>
        <w:rPr>
          <w:rFonts w:ascii="黑体" w:hAnsi="黑体" w:eastAsia="黑体"/>
          <w:b/>
          <w:sz w:val="30"/>
        </w:rPr>
        <w:t>第一部分　谁被管、谁来批</w:t>
      </w:r>
    </w:p>
    <w:p>
      <w:pPr>
        <w:spacing w:before="220" w:after="100"/>
      </w:pPr>
      <w:r>
        <w:rPr>
          <w:rFonts w:ascii="黑体" w:hAnsi="黑体" w:eastAsia="黑体"/>
          <w:b/>
          <w:sz w:val="25"/>
        </w:rPr>
        <w:t>一、定增在国资眼里不是一件事</w:t>
      </w:r>
    </w:p>
    <w:p>
      <w:pPr>
        <w:ind w:firstLine="440"/>
      </w:pPr>
      <w:r>
        <w:rPr>
          <w:rFonts w:ascii="宋体" w:hAnsi="宋体" w:eastAsia="宋体"/>
          <w:b w:val="0"/>
          <w:sz w:val="22"/>
        </w:rPr>
        <w:t>市场上笼统说的「定增」，在 36 号令体系下会按</w:t>
      </w:r>
      <w:r>
        <w:rPr>
          <w:rFonts w:ascii="宋体" w:hAnsi="宋体" w:eastAsia="宋体"/>
          <w:b/>
          <w:sz w:val="22"/>
        </w:rPr>
        <w:t>交易实质</w:t>
      </w:r>
      <w:r>
        <w:rPr>
          <w:rFonts w:ascii="宋体" w:hAnsi="宋体" w:eastAsia="宋体"/>
          <w:b w:val="0"/>
          <w:sz w:val="22"/>
        </w:rPr>
        <w:t>被拆进三个不同章节，审批主体、时点和报送文件都不一样：</w:t>
      </w:r>
    </w:p>
    <w:tbl>
      <w:tblPr>
        <w:tblStyle w:val="TableGrid"/>
        <w:tblW w:type="auto" w:w="0"/>
        <w:jc w:val="center"/>
        <w:tblLook w:firstColumn="1" w:firstRow="1" w:lastColumn="0" w:lastRow="0" w:noHBand="0" w:noVBand="1" w:val="04A0"/>
      </w:tblPr>
      <w:tblGrid>
        <w:gridCol w:w="3097"/>
        <w:gridCol w:w="3097"/>
        <w:gridCol w:w="3097"/>
      </w:tblGrid>
      <w:tr>
        <w:tc>
          <w:tcPr>
            <w:tcW w:type="dxa" w:w="1247"/>
            <w:shd w:fill="EEF2F7"/>
          </w:tcPr>
          <w:p>
            <w:pPr>
              <w:jc w:val="center"/>
            </w:pPr>
            <w:r>
              <w:rPr>
                <w:rFonts w:ascii="黑体" w:hAnsi="黑体" w:eastAsia="黑体"/>
                <w:b/>
                <w:sz w:val="20"/>
              </w:rPr>
            </w:r>
          </w:p>
        </w:tc>
        <w:tc>
          <w:tcPr>
            <w:tcW w:type="dxa" w:w="4762"/>
            <w:shd w:fill="EEF2F7"/>
          </w:tcPr>
          <w:p>
            <w:pPr>
              <w:jc w:val="center"/>
            </w:pPr>
            <w:r>
              <w:rPr>
                <w:rFonts w:ascii="黑体" w:hAnsi="黑体" w:eastAsia="黑体"/>
                <w:b/>
                <w:sz w:val="20"/>
              </w:rPr>
              <w:t>交易实质</w:t>
            </w:r>
          </w:p>
        </w:tc>
        <w:tc>
          <w:tcPr>
            <w:tcW w:type="dxa" w:w="2608"/>
            <w:shd w:fill="EEF2F7"/>
          </w:tcPr>
          <w:p>
            <w:pPr>
              <w:jc w:val="center"/>
            </w:pPr>
            <w:r>
              <w:rPr>
                <w:rFonts w:ascii="黑体" w:hAnsi="黑体" w:eastAsia="黑体"/>
                <w:b/>
                <w:sz w:val="20"/>
              </w:rPr>
              <w:t>36 号令条文</w:t>
            </w:r>
          </w:p>
        </w:tc>
      </w:tr>
      <w:tr>
        <w:tc>
          <w:tcPr>
            <w:tcW w:type="dxa" w:w="1247"/>
          </w:tcPr>
          <w:p>
            <w:pPr>
              <w:spacing w:after="40" w:line="288" w:lineRule="auto"/>
            </w:pPr>
            <w:r>
              <w:rPr>
                <w:rFonts w:ascii="宋体" w:hAnsi="宋体" w:eastAsia="宋体"/>
                <w:b w:val="0"/>
                <w:sz w:val="19"/>
              </w:rPr>
              <w:t>第一类</w:t>
            </w:r>
          </w:p>
        </w:tc>
        <w:tc>
          <w:tcPr>
            <w:tcW w:type="dxa" w:w="4762"/>
          </w:tcPr>
          <w:p>
            <w:pPr>
              <w:spacing w:after="40" w:line="288" w:lineRule="auto"/>
            </w:pPr>
            <w:r>
              <w:rPr>
                <w:rFonts w:ascii="宋体" w:hAnsi="宋体" w:eastAsia="宋体"/>
                <w:b w:val="0"/>
                <w:sz w:val="19"/>
              </w:rPr>
              <w:t>上市公司</w:t>
            </w:r>
            <w:r>
              <w:rPr>
                <w:rFonts w:ascii="宋体" w:hAnsi="宋体" w:eastAsia="宋体"/>
                <w:b/>
                <w:sz w:val="19"/>
              </w:rPr>
              <w:t>发行证券</w:t>
            </w:r>
            <w:r>
              <w:rPr>
                <w:rFonts w:ascii="宋体" w:hAnsi="宋体" w:eastAsia="宋体"/>
                <w:b w:val="0"/>
                <w:sz w:val="19"/>
              </w:rPr>
              <w:t>（向特定对象发行股份募资）</w:t>
            </w:r>
          </w:p>
        </w:tc>
        <w:tc>
          <w:tcPr>
            <w:tcW w:type="dxa" w:w="2608"/>
          </w:tcPr>
          <w:p>
            <w:pPr>
              <w:spacing w:after="40" w:line="288" w:lineRule="auto"/>
            </w:pPr>
            <w:r>
              <w:rPr>
                <w:rFonts w:ascii="宋体" w:hAnsi="宋体" w:eastAsia="宋体"/>
                <w:b w:val="0"/>
                <w:sz w:val="19"/>
              </w:rPr>
              <w:t>第 62、63、64 条</w:t>
            </w:r>
          </w:p>
        </w:tc>
      </w:tr>
      <w:tr>
        <w:tc>
          <w:tcPr>
            <w:tcW w:type="dxa" w:w="1247"/>
          </w:tcPr>
          <w:p>
            <w:pPr>
              <w:spacing w:after="40" w:line="288" w:lineRule="auto"/>
            </w:pPr>
            <w:r>
              <w:rPr>
                <w:rFonts w:ascii="宋体" w:hAnsi="宋体" w:eastAsia="宋体"/>
                <w:b w:val="0"/>
                <w:sz w:val="19"/>
              </w:rPr>
              <w:t>第二类</w:t>
            </w:r>
          </w:p>
        </w:tc>
        <w:tc>
          <w:tcPr>
            <w:tcW w:type="dxa" w:w="4762"/>
          </w:tcPr>
          <w:p>
            <w:pPr>
              <w:spacing w:after="40" w:line="288" w:lineRule="auto"/>
            </w:pPr>
            <w:r>
              <w:rPr>
                <w:rFonts w:ascii="宋体" w:hAnsi="宋体" w:eastAsia="宋体"/>
                <w:b w:val="0"/>
                <w:sz w:val="19"/>
              </w:rPr>
              <w:t>国有股东</w:t>
            </w:r>
            <w:r>
              <w:rPr>
                <w:rFonts w:ascii="宋体" w:hAnsi="宋体" w:eastAsia="宋体"/>
                <w:b/>
                <w:sz w:val="19"/>
              </w:rPr>
              <w:t>认购</w:t>
            </w:r>
            <w:r>
              <w:rPr>
                <w:rFonts w:ascii="宋体" w:hAnsi="宋体" w:eastAsia="宋体"/>
                <w:b w:val="0"/>
                <w:sz w:val="19"/>
              </w:rPr>
              <w:t>本次发行的股份（增持）</w:t>
            </w:r>
          </w:p>
        </w:tc>
        <w:tc>
          <w:tcPr>
            <w:tcW w:type="dxa" w:w="2608"/>
          </w:tcPr>
          <w:p>
            <w:pPr>
              <w:spacing w:after="40" w:line="288" w:lineRule="auto"/>
            </w:pPr>
            <w:r>
              <w:rPr>
                <w:rFonts w:ascii="宋体" w:hAnsi="宋体" w:eastAsia="宋体"/>
                <w:b w:val="0"/>
                <w:sz w:val="19"/>
              </w:rPr>
              <w:t>第 53、54、55 条</w:t>
            </w:r>
          </w:p>
        </w:tc>
      </w:tr>
      <w:tr>
        <w:tc>
          <w:tcPr>
            <w:tcW w:type="dxa" w:w="1247"/>
          </w:tcPr>
          <w:p>
            <w:pPr>
              <w:spacing w:after="40" w:line="288" w:lineRule="auto"/>
            </w:pPr>
            <w:r>
              <w:rPr>
                <w:rFonts w:ascii="宋体" w:hAnsi="宋体" w:eastAsia="宋体"/>
                <w:b w:val="0"/>
                <w:sz w:val="19"/>
              </w:rPr>
              <w:t>第三类</w:t>
            </w:r>
          </w:p>
        </w:tc>
        <w:tc>
          <w:tcPr>
            <w:tcW w:type="dxa" w:w="4762"/>
          </w:tcPr>
          <w:p>
            <w:pPr>
              <w:spacing w:after="40" w:line="288" w:lineRule="auto"/>
            </w:pPr>
            <w:r>
              <w:rPr>
                <w:rFonts w:ascii="宋体" w:hAnsi="宋体" w:eastAsia="宋体"/>
                <w:b w:val="0"/>
                <w:sz w:val="19"/>
              </w:rPr>
              <w:t>发行股份</w:t>
            </w:r>
            <w:r>
              <w:rPr>
                <w:rFonts w:ascii="宋体" w:hAnsi="宋体" w:eastAsia="宋体"/>
                <w:b/>
                <w:sz w:val="19"/>
              </w:rPr>
              <w:t>购买资产</w:t>
            </w:r>
            <w:r>
              <w:rPr>
                <w:rFonts w:ascii="宋体" w:hAnsi="宋体" w:eastAsia="宋体"/>
                <w:b w:val="0"/>
                <w:sz w:val="19"/>
              </w:rPr>
              <w:t>（资产重组）</w:t>
            </w:r>
          </w:p>
        </w:tc>
        <w:tc>
          <w:tcPr>
            <w:tcW w:type="dxa" w:w="2608"/>
          </w:tcPr>
          <w:p>
            <w:pPr>
              <w:spacing w:after="40" w:line="288" w:lineRule="auto"/>
            </w:pPr>
            <w:r>
              <w:rPr>
                <w:rFonts w:ascii="宋体" w:hAnsi="宋体" w:eastAsia="宋体"/>
                <w:b w:val="0"/>
                <w:sz w:val="19"/>
              </w:rPr>
              <w:t>第 65、66、67、68 条</w:t>
            </w:r>
          </w:p>
        </w:tc>
      </w:tr>
    </w:tbl>
    <w:p>
      <w:pPr>
        <w:spacing w:after="80"/>
      </w:pPr>
    </w:p>
    <w:p>
      <w:pPr>
        <w:ind w:firstLine="440"/>
      </w:pPr>
      <w:r>
        <w:rPr>
          <w:rFonts w:ascii="宋体" w:hAnsi="宋体" w:eastAsia="宋体"/>
          <w:b w:val="0"/>
          <w:sz w:val="22"/>
        </w:rPr>
        <w:t>一笔交易可能</w:t>
      </w:r>
      <w:r>
        <w:rPr>
          <w:rFonts w:ascii="宋体" w:hAnsi="宋体" w:eastAsia="宋体"/>
          <w:b/>
          <w:sz w:val="22"/>
        </w:rPr>
        <w:t>同时落进两格</w:t>
      </w:r>
      <w:r>
        <w:rPr>
          <w:rFonts w:ascii="宋体" w:hAnsi="宋体" w:eastAsia="宋体"/>
          <w:b w:val="0"/>
          <w:sz w:val="22"/>
        </w:rPr>
        <w:t>：控股股东参与认购的定增，是第一类叠加第二类；发股购买控股股东资产并配套融资的，是第一类叠加第三类。</w:t>
      </w:r>
      <w:r>
        <w:rPr>
          <w:rFonts w:ascii="宋体" w:hAnsi="宋体" w:eastAsia="宋体"/>
          <w:b/>
          <w:sz w:val="22"/>
        </w:rPr>
        <w:t>分错格，后面的时点和文件全都会错。</w:t>
      </w:r>
    </w:p>
    <w:p>
      <w:pPr>
        <w:spacing w:before="220" w:after="100"/>
      </w:pPr>
      <w:r>
        <w:rPr>
          <w:rFonts w:ascii="黑体" w:hAnsi="黑体" w:eastAsia="黑体"/>
          <w:b/>
          <w:sz w:val="25"/>
        </w:rPr>
        <w:t>二、第一个问题：你是不是「国有股东」</w:t>
      </w:r>
    </w:p>
    <w:p>
      <w:pPr>
        <w:ind w:firstLine="440"/>
      </w:pPr>
      <w:r>
        <w:rPr>
          <w:rFonts w:ascii="宋体" w:hAnsi="宋体" w:eastAsia="宋体"/>
          <w:b w:val="0"/>
          <w:sz w:val="22"/>
        </w:rPr>
        <w:t>第三条给了明确定义，并要求这类股东的</w:t>
      </w:r>
      <w:r>
        <w:rPr>
          <w:rFonts w:ascii="宋体" w:hAnsi="宋体" w:eastAsia="宋体"/>
          <w:b/>
          <w:sz w:val="22"/>
        </w:rPr>
        <w:t>证券账户标注「SS」</w:t>
      </w:r>
      <w:r>
        <w:rPr>
          <w:rFonts w:ascii="宋体" w:hAnsi="宋体" w:eastAsia="宋体"/>
          <w:b w:val="0"/>
          <w:sz w:val="22"/>
        </w:rPr>
        <w:t>：</w:t>
      </w:r>
    </w:p>
    <w:p>
      <w:pPr>
        <w:pStyle w:val="ListBullet"/>
        <w:spacing w:line="324" w:lineRule="auto" w:after="60"/>
        <w:ind w:left="440"/>
      </w:pPr>
      <w:r>
        <w:rPr>
          <w:rFonts w:ascii="宋体" w:hAnsi="宋体" w:eastAsia="宋体"/>
          <w:b w:val="0"/>
          <w:sz w:val="21"/>
        </w:rPr>
        <w:t>（一）政府部门、机构、事业单位、境内国有独资或全资企业；</w:t>
      </w:r>
    </w:p>
    <w:p>
      <w:pPr>
        <w:pStyle w:val="ListBullet"/>
        <w:spacing w:line="324" w:lineRule="auto" w:after="60"/>
        <w:ind w:left="440"/>
      </w:pPr>
      <w:r>
        <w:rPr>
          <w:rFonts w:ascii="宋体" w:hAnsi="宋体" w:eastAsia="宋体"/>
          <w:b w:val="0"/>
          <w:sz w:val="21"/>
        </w:rPr>
        <w:t>（二）第（一）项所述单位或企业</w:t>
      </w:r>
      <w:r>
        <w:rPr>
          <w:rFonts w:ascii="宋体" w:hAnsi="宋体" w:eastAsia="宋体"/>
          <w:b/>
          <w:sz w:val="21"/>
        </w:rPr>
        <w:t>独家持股比例超过 50%</w:t>
      </w:r>
      <w:r>
        <w:rPr>
          <w:rFonts w:ascii="宋体" w:hAnsi="宋体" w:eastAsia="宋体"/>
          <w:b w:val="0"/>
          <w:sz w:val="21"/>
        </w:rPr>
        <w:t>，或者</w:t>
      </w:r>
      <w:r>
        <w:rPr>
          <w:rFonts w:ascii="宋体" w:hAnsi="宋体" w:eastAsia="宋体"/>
          <w:b/>
          <w:sz w:val="21"/>
        </w:rPr>
        <w:t>合计持股比例超过 50% 且其中之一为第一大股东</w:t>
      </w:r>
      <w:r>
        <w:rPr>
          <w:rFonts w:ascii="宋体" w:hAnsi="宋体" w:eastAsia="宋体"/>
          <w:b w:val="0"/>
          <w:sz w:val="21"/>
        </w:rPr>
        <w:t>的境内企业；</w:t>
      </w:r>
    </w:p>
    <w:p>
      <w:pPr>
        <w:pStyle w:val="ListBullet"/>
        <w:spacing w:line="324" w:lineRule="auto" w:after="60"/>
        <w:ind w:left="440"/>
      </w:pPr>
      <w:r>
        <w:rPr>
          <w:rFonts w:ascii="宋体" w:hAnsi="宋体" w:eastAsia="宋体"/>
          <w:b w:val="0"/>
          <w:sz w:val="21"/>
        </w:rPr>
        <w:t>（三）第（二）项所述企业直接或间接持股的</w:t>
      </w:r>
      <w:r>
        <w:rPr>
          <w:rFonts w:ascii="宋体" w:hAnsi="宋体" w:eastAsia="宋体"/>
          <w:b/>
          <w:sz w:val="21"/>
        </w:rPr>
        <w:t>各级境内独资或全资企业</w:t>
      </w:r>
      <w:r>
        <w:rPr>
          <w:rFonts w:ascii="宋体" w:hAnsi="宋体" w:eastAsia="宋体"/>
          <w:b w:val="0"/>
          <w:sz w:val="21"/>
        </w:rPr>
        <w:t>。</w:t>
      </w:r>
    </w:p>
    <w:p>
      <w:pPr>
        <w:ind w:firstLine="440"/>
      </w:pPr>
      <w:r>
        <w:rPr>
          <w:rFonts w:ascii="宋体" w:hAnsi="宋体" w:eastAsia="宋体"/>
          <w:b w:val="0"/>
          <w:sz w:val="22"/>
        </w:rPr>
        <w:t>三个容易读漏的地方：</w:t>
      </w:r>
      <w:r>
        <w:rPr>
          <w:rFonts w:ascii="宋体" w:hAnsi="宋体" w:eastAsia="宋体"/>
          <w:b/>
          <w:sz w:val="22"/>
        </w:rPr>
        <w:t>第一</w:t>
      </w:r>
      <w:r>
        <w:rPr>
          <w:rFonts w:ascii="宋体" w:hAnsi="宋体" w:eastAsia="宋体"/>
          <w:b w:val="0"/>
          <w:sz w:val="22"/>
        </w:rPr>
        <w:t>，是「超过 50%」而非「50% 及以上」，恰好 50% 的按文义不落入。</w:t>
      </w:r>
      <w:r>
        <w:rPr>
          <w:rFonts w:ascii="宋体" w:hAnsi="宋体" w:eastAsia="宋体"/>
          <w:b/>
          <w:sz w:val="22"/>
        </w:rPr>
        <w:t>第二</w:t>
      </w:r>
      <w:r>
        <w:rPr>
          <w:rFonts w:ascii="宋体" w:hAnsi="宋体" w:eastAsia="宋体"/>
          <w:b w:val="0"/>
          <w:sz w:val="22"/>
        </w:rPr>
        <w:t>，「合计超过 50%」还附了「其中之一为第一大股东」这个条件——几家国有单位合计持股 55%、但第一大股东是民营企业的，按文义不构成本项下的国有股东。</w:t>
      </w:r>
      <w:r>
        <w:rPr>
          <w:rFonts w:ascii="宋体" w:hAnsi="宋体" w:eastAsia="宋体"/>
          <w:b/>
          <w:sz w:val="22"/>
        </w:rPr>
        <w:t>第三</w:t>
      </w:r>
      <w:r>
        <w:rPr>
          <w:rFonts w:ascii="宋体" w:hAnsi="宋体" w:eastAsia="宋体"/>
          <w:b w:val="0"/>
          <w:sz w:val="22"/>
        </w:rPr>
        <w:t>，第（三）项只穿透到「独资或全资」，不是「凡被控股的都算」。</w:t>
      </w:r>
    </w:p>
    <w:p>
      <w:pPr>
        <w:spacing w:before="120" w:after="120" w:line="324" w:lineRule="auto"/>
        <w:ind w:left="560" w:right="280"/>
      </w:pPr>
      <w:r>
        <w:rPr>
          <w:rFonts w:ascii="楷体" w:hAnsi="楷体" w:eastAsia="楷体"/>
          <w:b w:val="0"/>
          <w:sz w:val="21"/>
        </w:rPr>
        <w:t>判断顺序是</w:t>
      </w:r>
      <w:r>
        <w:rPr>
          <w:rFonts w:ascii="楷体" w:hAnsi="楷体" w:eastAsia="楷体"/>
          <w:b/>
          <w:sz w:val="21"/>
        </w:rPr>
        <w:t>先定身份、再定行为</w:t>
      </w:r>
      <w:r>
        <w:rPr>
          <w:rFonts w:ascii="楷体" w:hAnsi="楷体" w:eastAsia="楷体"/>
          <w:b w:val="0"/>
          <w:sz w:val="21"/>
        </w:rPr>
        <w:t>。不先把「是不是第三条意义上的国有股东」定下来，后面讨论「要不要报批」都是空的。</w:t>
      </w:r>
    </w:p>
    <w:p>
      <w:pPr>
        <w:spacing w:before="80" w:after="160" w:line="312" w:lineRule="auto"/>
        <w:ind w:left="360"/>
      </w:pPr>
      <w:r>
        <w:rPr>
          <w:rFonts w:ascii="宋体" w:hAnsi="宋体" w:eastAsia="宋体"/>
          <w:b w:val="0"/>
          <w:color w:val="8A5000"/>
          <w:sz w:val="20"/>
        </w:rPr>
        <w:t>两个边界：政府部门、机构、事业单位及其所属企业持有的上市公司国有股权变动，第七十五条规定</w:t>
      </w:r>
      <w:r>
        <w:rPr>
          <w:rFonts w:ascii="宋体" w:hAnsi="宋体" w:eastAsia="宋体"/>
          <w:b/>
          <w:color w:val="8A5000"/>
          <w:sz w:val="20"/>
        </w:rPr>
        <w:t>比照本办法管理</w:t>
      </w:r>
      <w:r>
        <w:rPr>
          <w:rFonts w:ascii="宋体" w:hAnsi="宋体" w:eastAsia="宋体"/>
          <w:b w:val="0"/>
          <w:color w:val="8A5000"/>
          <w:sz w:val="20"/>
        </w:rPr>
        <w:t>（是「比照」，不是「不适用」）；金融、文化类上市公司，第七十六条规定</w:t>
      </w:r>
      <w:r>
        <w:rPr>
          <w:rFonts w:ascii="宋体" w:hAnsi="宋体" w:eastAsia="宋体"/>
          <w:b/>
          <w:color w:val="8A5000"/>
          <w:sz w:val="20"/>
        </w:rPr>
        <w:t>国家另有规定的依照其规定</w:t>
      </w:r>
      <w:r>
        <w:rPr>
          <w:rFonts w:ascii="宋体" w:hAnsi="宋体" w:eastAsia="宋体"/>
          <w:b w:val="0"/>
          <w:color w:val="8A5000"/>
          <w:sz w:val="20"/>
        </w:rPr>
        <w:t>，不能只查 36 号令就下结论。</w:t>
      </w:r>
    </w:p>
    <w:p>
      <w:pPr>
        <w:spacing w:before="220" w:after="100"/>
      </w:pPr>
      <w:r>
        <w:rPr>
          <w:rFonts w:ascii="黑体" w:hAnsi="黑体" w:eastAsia="黑体"/>
          <w:b/>
          <w:sz w:val="25"/>
        </w:rPr>
        <w:t>三、管的是哪些行为</w:t>
      </w:r>
    </w:p>
    <w:p>
      <w:pPr>
        <w:ind w:firstLine="440"/>
      </w:pPr>
      <w:r>
        <w:rPr>
          <w:rFonts w:ascii="宋体" w:hAnsi="宋体" w:eastAsia="宋体"/>
          <w:b w:val="0"/>
          <w:sz w:val="22"/>
        </w:rPr>
        <w:t>第二条把「上市公司国有股权变动行为」定义为持股主体、数量或比例等发生变化的行为并逐项列举，与定增直接相关的三项是：国有股东认购上市公司发行股票；国有股东所控股上市公司发行证券；国有股东与上市公司进行资产重组。</w:t>
      </w:r>
    </w:p>
    <w:p>
      <w:pPr>
        <w:ind w:firstLine="440"/>
      </w:pPr>
      <w:r>
        <w:rPr>
          <w:rFonts w:ascii="宋体" w:hAnsi="宋体" w:eastAsia="宋体"/>
          <w:b w:val="0"/>
          <w:sz w:val="22"/>
        </w:rPr>
        <w:t>请注意第二项的主语——</w:t>
      </w:r>
      <w:r>
        <w:rPr>
          <w:rFonts w:ascii="宋体" w:hAnsi="宋体" w:eastAsia="宋体"/>
          <w:b/>
          <w:sz w:val="22"/>
        </w:rPr>
        <w:t>是「上市公司发行证券」这件事本身被纳入监管</w:t>
      </w:r>
      <w:r>
        <w:rPr>
          <w:rFonts w:ascii="宋体" w:hAnsi="宋体" w:eastAsia="宋体"/>
          <w:b w:val="0"/>
          <w:sz w:val="22"/>
        </w:rPr>
        <w:t>，而不是只有国有股东自己买卖股份才被管。发新股会摊薄国有股东持股，所以发行行为自身就落入监管范围。这是「我们股东又没卖股票，为什么要报国资」这一疑问的答案。</w:t>
      </w:r>
    </w:p>
    <w:p>
      <w:pPr>
        <w:spacing w:before="220" w:after="100"/>
      </w:pPr>
      <w:r>
        <w:rPr>
          <w:rFonts w:ascii="黑体" w:hAnsi="黑体" w:eastAsia="黑体"/>
          <w:b/>
          <w:sz w:val="25"/>
        </w:rPr>
        <w:t>四、谁批：不是一律报国资委</w:t>
      </w:r>
    </w:p>
    <w:p>
      <w:pPr>
        <w:ind w:firstLine="440"/>
      </w:pPr>
      <w:r>
        <w:rPr>
          <w:rFonts w:ascii="宋体" w:hAnsi="宋体" w:eastAsia="宋体"/>
          <w:b w:val="0"/>
          <w:sz w:val="22"/>
        </w:rPr>
        <w:t>第七条把一批事项</w:t>
      </w:r>
      <w:r>
        <w:rPr>
          <w:rFonts w:ascii="宋体" w:hAnsi="宋体" w:eastAsia="宋体"/>
          <w:b/>
          <w:sz w:val="22"/>
        </w:rPr>
        <w:t>下放给「国家出资企业」（通常即集团母公司）自行审核批准</w:t>
      </w:r>
      <w:r>
        <w:rPr>
          <w:rFonts w:ascii="宋体" w:hAnsi="宋体" w:eastAsia="宋体"/>
          <w:b w:val="0"/>
          <w:sz w:val="22"/>
        </w:rPr>
        <w:t>，与定增相关的是三项：</w:t>
      </w:r>
    </w:p>
    <w:tbl>
      <w:tblPr>
        <w:tblStyle w:val="TableGrid"/>
        <w:tblW w:type="auto" w:w="0"/>
        <w:jc w:val="center"/>
        <w:tblLook w:firstColumn="1" w:firstRow="1" w:lastColumn="0" w:lastRow="0" w:noHBand="0" w:noVBand="1" w:val="04A0"/>
      </w:tblPr>
      <w:tblGrid>
        <w:gridCol w:w="4646"/>
        <w:gridCol w:w="4646"/>
      </w:tblGrid>
      <w:tr>
        <w:tc>
          <w:tcPr>
            <w:tcW w:type="dxa" w:w="5443"/>
            <w:shd w:fill="EEF2F7"/>
          </w:tcPr>
          <w:p>
            <w:pPr>
              <w:jc w:val="center"/>
            </w:pPr>
            <w:r>
              <w:rPr>
                <w:rFonts w:ascii="黑体" w:hAnsi="黑体" w:eastAsia="黑体"/>
                <w:b/>
                <w:sz w:val="20"/>
              </w:rPr>
              <w:t>情形</w:t>
            </w:r>
          </w:p>
        </w:tc>
        <w:tc>
          <w:tcPr>
            <w:tcW w:type="dxa" w:w="3175"/>
            <w:shd w:fill="EEF2F7"/>
          </w:tcPr>
          <w:p>
            <w:pPr>
              <w:jc w:val="center"/>
            </w:pPr>
            <w:r>
              <w:rPr>
                <w:rFonts w:ascii="黑体" w:hAnsi="黑体" w:eastAsia="黑体"/>
                <w:b/>
                <w:sz w:val="20"/>
              </w:rPr>
              <w:t>谁批</w:t>
            </w:r>
          </w:p>
        </w:tc>
      </w:tr>
      <w:tr>
        <w:tc>
          <w:tcPr>
            <w:tcW w:type="dxa" w:w="5443"/>
          </w:tcPr>
          <w:p>
            <w:pPr>
              <w:spacing w:after="40" w:line="288" w:lineRule="auto"/>
            </w:pPr>
            <w:r>
              <w:rPr>
                <w:rFonts w:ascii="宋体" w:hAnsi="宋体" w:eastAsia="宋体"/>
                <w:b w:val="0"/>
                <w:sz w:val="19"/>
              </w:rPr>
              <w:t>所控股上市公司</w:t>
            </w:r>
            <w:r>
              <w:rPr>
                <w:rFonts w:ascii="宋体" w:hAnsi="宋体" w:eastAsia="宋体"/>
                <w:b/>
                <w:sz w:val="19"/>
              </w:rPr>
              <w:t>发行证券</w:t>
            </w:r>
            <w:r>
              <w:rPr>
                <w:rFonts w:ascii="宋体" w:hAnsi="宋体" w:eastAsia="宋体"/>
                <w:b w:val="0"/>
                <w:sz w:val="19"/>
              </w:rPr>
              <w:t>，未导致国有控股股东持股比例</w:t>
            </w:r>
            <w:r>
              <w:rPr>
                <w:rFonts w:ascii="宋体" w:hAnsi="宋体" w:eastAsia="宋体"/>
                <w:b/>
                <w:sz w:val="19"/>
              </w:rPr>
              <w:t>低于合理持股比例</w:t>
            </w:r>
          </w:p>
        </w:tc>
        <w:tc>
          <w:tcPr>
            <w:tcW w:type="dxa" w:w="3175"/>
          </w:tcPr>
          <w:p>
            <w:pPr>
              <w:spacing w:after="40" w:line="288" w:lineRule="auto"/>
            </w:pPr>
            <w:r>
              <w:rPr>
                <w:rFonts w:ascii="宋体" w:hAnsi="宋体" w:eastAsia="宋体"/>
                <w:b w:val="0"/>
                <w:sz w:val="19"/>
              </w:rPr>
              <w:t>国家出资企业自审（第七条第三项）</w:t>
            </w:r>
          </w:p>
        </w:tc>
      </w:tr>
      <w:tr>
        <w:tc>
          <w:tcPr>
            <w:tcW w:type="dxa" w:w="5443"/>
          </w:tcPr>
          <w:p>
            <w:pPr>
              <w:spacing w:after="40" w:line="288" w:lineRule="auto"/>
            </w:pPr>
            <w:r>
              <w:rPr>
                <w:rFonts w:ascii="宋体" w:hAnsi="宋体" w:eastAsia="宋体"/>
                <w:b w:val="0"/>
                <w:sz w:val="19"/>
              </w:rPr>
              <w:t>国有股东</w:t>
            </w:r>
            <w:r>
              <w:rPr>
                <w:rFonts w:ascii="宋体" w:hAnsi="宋体" w:eastAsia="宋体"/>
                <w:b/>
                <w:sz w:val="19"/>
              </w:rPr>
              <w:t>认购</w:t>
            </w:r>
            <w:r>
              <w:rPr>
                <w:rFonts w:ascii="宋体" w:hAnsi="宋体" w:eastAsia="宋体"/>
                <w:b w:val="0"/>
                <w:sz w:val="19"/>
              </w:rPr>
              <w:t>上市公司发行股票等，</w:t>
            </w:r>
            <w:r>
              <w:rPr>
                <w:rFonts w:ascii="宋体" w:hAnsi="宋体" w:eastAsia="宋体"/>
                <w:b/>
                <w:sz w:val="19"/>
              </w:rPr>
              <w:t>未导致上市公司控股权转移</w:t>
            </w:r>
          </w:p>
        </w:tc>
        <w:tc>
          <w:tcPr>
            <w:tcW w:type="dxa" w:w="3175"/>
          </w:tcPr>
          <w:p>
            <w:pPr>
              <w:spacing w:after="40" w:line="288" w:lineRule="auto"/>
            </w:pPr>
            <w:r>
              <w:rPr>
                <w:rFonts w:ascii="宋体" w:hAnsi="宋体" w:eastAsia="宋体"/>
                <w:b w:val="0"/>
                <w:sz w:val="19"/>
              </w:rPr>
              <w:t>国家出资企业自审（第七条第四项）</w:t>
            </w:r>
          </w:p>
        </w:tc>
      </w:tr>
      <w:tr>
        <w:tc>
          <w:tcPr>
            <w:tcW w:type="dxa" w:w="5443"/>
          </w:tcPr>
          <w:p>
            <w:pPr>
              <w:spacing w:after="40" w:line="288" w:lineRule="auto"/>
            </w:pPr>
            <w:r>
              <w:rPr>
                <w:rFonts w:ascii="宋体" w:hAnsi="宋体" w:eastAsia="宋体"/>
                <w:b w:val="0"/>
                <w:sz w:val="19"/>
              </w:rPr>
              <w:t>国有股东与所控股上市公司</w:t>
            </w:r>
            <w:r>
              <w:rPr>
                <w:rFonts w:ascii="宋体" w:hAnsi="宋体" w:eastAsia="宋体"/>
                <w:b/>
                <w:sz w:val="19"/>
              </w:rPr>
              <w:t>资产重组</w:t>
            </w:r>
            <w:r>
              <w:rPr>
                <w:rFonts w:ascii="宋体" w:hAnsi="宋体" w:eastAsia="宋体"/>
                <w:b w:val="0"/>
                <w:sz w:val="19"/>
              </w:rPr>
              <w:t>，</w:t>
            </w:r>
            <w:r>
              <w:rPr>
                <w:rFonts w:ascii="宋体" w:hAnsi="宋体" w:eastAsia="宋体"/>
                <w:b/>
                <w:sz w:val="19"/>
              </w:rPr>
              <w:t>不属于</w:t>
            </w:r>
            <w:r>
              <w:rPr>
                <w:rFonts w:ascii="宋体" w:hAnsi="宋体" w:eastAsia="宋体"/>
                <w:b w:val="0"/>
                <w:sz w:val="19"/>
              </w:rPr>
              <w:t>证监会规定的重大资产重组范围</w:t>
            </w:r>
          </w:p>
        </w:tc>
        <w:tc>
          <w:tcPr>
            <w:tcW w:type="dxa" w:w="3175"/>
          </w:tcPr>
          <w:p>
            <w:pPr>
              <w:spacing w:after="40" w:line="288" w:lineRule="auto"/>
            </w:pPr>
            <w:r>
              <w:rPr>
                <w:rFonts w:ascii="宋体" w:hAnsi="宋体" w:eastAsia="宋体"/>
                <w:b w:val="0"/>
                <w:sz w:val="19"/>
              </w:rPr>
              <w:t>国家出资企业自审（第七条第五项）</w:t>
            </w:r>
          </w:p>
        </w:tc>
      </w:tr>
      <w:tr>
        <w:tc>
          <w:tcPr>
            <w:tcW w:type="dxa" w:w="5443"/>
          </w:tcPr>
          <w:p>
            <w:pPr>
              <w:spacing w:after="40" w:line="288" w:lineRule="auto"/>
            </w:pPr>
            <w:r>
              <w:rPr>
                <w:rFonts w:ascii="宋体" w:hAnsi="宋体" w:eastAsia="宋体"/>
                <w:b w:val="0"/>
                <w:sz w:val="19"/>
              </w:rPr>
              <w:t>以上情形</w:t>
            </w:r>
            <w:r>
              <w:rPr>
                <w:rFonts w:ascii="宋体" w:hAnsi="宋体" w:eastAsia="宋体"/>
                <w:b/>
                <w:sz w:val="19"/>
              </w:rPr>
              <w:t>之外</w:t>
            </w:r>
            <w:r>
              <w:rPr>
                <w:rFonts w:ascii="宋体" w:hAnsi="宋体" w:eastAsia="宋体"/>
                <w:b w:val="0"/>
                <w:sz w:val="19"/>
              </w:rPr>
              <w:t>的</w:t>
            </w:r>
          </w:p>
        </w:tc>
        <w:tc>
          <w:tcPr>
            <w:tcW w:type="dxa" w:w="3175"/>
          </w:tcPr>
          <w:p>
            <w:pPr>
              <w:spacing w:after="40" w:line="288" w:lineRule="auto"/>
            </w:pPr>
            <w:r>
              <w:rPr>
                <w:rFonts w:ascii="宋体" w:hAnsi="宋体" w:eastAsia="宋体"/>
                <w:b w:val="0"/>
                <w:sz w:val="19"/>
              </w:rPr>
              <w:t>报国有资产监督管理机构审核批准（第 54、63、67 条）</w:t>
            </w:r>
          </w:p>
        </w:tc>
      </w:tr>
    </w:tbl>
    <w:p>
      <w:pPr>
        <w:spacing w:after="80"/>
      </w:pPr>
    </w:p>
    <w:p>
      <w:pPr>
        <w:ind w:firstLine="440"/>
      </w:pPr>
      <w:r>
        <w:rPr>
          <w:rFonts w:ascii="宋体" w:hAnsi="宋体" w:eastAsia="宋体"/>
          <w:b w:val="0"/>
          <w:sz w:val="22"/>
        </w:rPr>
        <w:t>换言之，</w:t>
      </w:r>
      <w:r>
        <w:rPr>
          <w:rFonts w:ascii="宋体" w:hAnsi="宋体" w:eastAsia="宋体"/>
          <w:b/>
          <w:sz w:val="22"/>
        </w:rPr>
        <w:t>一笔不摊薄到控股线以下、又不构成重大资产重组的普通定增，在国资这一端是集团自己批的，并不上国资委。</w:t>
      </w:r>
      <w:r>
        <w:rPr>
          <w:rFonts w:ascii="宋体" w:hAnsi="宋体" w:eastAsia="宋体"/>
          <w:b w:val="0"/>
          <w:sz w:val="22"/>
        </w:rPr>
        <w:t>把所有定增都当成「必须报国资委」会把项目周期算长；反过来，把本该报国资委的当成集团能自审，则是程序瑕疵。</w:t>
      </w:r>
    </w:p>
    <w:p>
      <w:pPr>
        <w:spacing w:before="220" w:after="100"/>
      </w:pPr>
      <w:r>
        <w:rPr>
          <w:rFonts w:ascii="黑体" w:hAnsi="黑体" w:eastAsia="黑体"/>
          <w:b/>
          <w:sz w:val="25"/>
        </w:rPr>
        <w:t>五、枢纽：「合理持股比例」</w:t>
      </w:r>
    </w:p>
    <w:p>
      <w:pPr>
        <w:spacing w:before="120" w:after="120" w:line="324" w:lineRule="auto"/>
        <w:ind w:left="560" w:right="280"/>
      </w:pPr>
      <w:r>
        <w:rPr>
          <w:rFonts w:ascii="楷体" w:hAnsi="楷体" w:eastAsia="楷体"/>
          <w:b w:val="0"/>
          <w:sz w:val="21"/>
        </w:rPr>
        <w:t>国有控股股东的</w:t>
      </w:r>
      <w:r>
        <w:rPr>
          <w:rFonts w:ascii="楷体" w:hAnsi="楷体" w:eastAsia="楷体"/>
          <w:b/>
          <w:sz w:val="21"/>
        </w:rPr>
        <w:t>合理持股比例</w:t>
      </w:r>
      <w:r>
        <w:rPr>
          <w:rFonts w:ascii="楷体" w:hAnsi="楷体" w:eastAsia="楷体"/>
          <w:b w:val="0"/>
          <w:sz w:val="21"/>
        </w:rPr>
        <w:t>（与国有控股股东属于同一控制人的，其所持股份的比例应</w:t>
      </w:r>
      <w:r>
        <w:rPr>
          <w:rFonts w:ascii="楷体" w:hAnsi="楷体" w:eastAsia="楷体"/>
          <w:b/>
          <w:sz w:val="21"/>
        </w:rPr>
        <w:t>合并计算</w:t>
      </w:r>
      <w:r>
        <w:rPr>
          <w:rFonts w:ascii="楷体" w:hAnsi="楷体" w:eastAsia="楷体"/>
          <w:b w:val="0"/>
          <w:sz w:val="21"/>
        </w:rPr>
        <w:t>）由</w:t>
      </w:r>
      <w:r>
        <w:rPr>
          <w:rFonts w:ascii="楷体" w:hAnsi="楷体" w:eastAsia="楷体"/>
          <w:b/>
          <w:sz w:val="21"/>
        </w:rPr>
        <w:t>国家出资企业研究确定，并报国有资产监督管理机构备案</w:t>
      </w:r>
      <w:r>
        <w:rPr>
          <w:rFonts w:ascii="楷体" w:hAnsi="楷体" w:eastAsia="楷体"/>
          <w:b w:val="0"/>
          <w:sz w:val="21"/>
        </w:rPr>
        <w:t>。确定合理持股比例的具体办法由</w:t>
      </w:r>
      <w:r>
        <w:rPr>
          <w:rFonts w:ascii="楷体" w:hAnsi="楷体" w:eastAsia="楷体"/>
          <w:b/>
          <w:sz w:val="21"/>
        </w:rPr>
        <w:t>省级以上国有资产监督管理机构另行制定</w:t>
      </w:r>
      <w:r>
        <w:rPr>
          <w:rFonts w:ascii="楷体" w:hAnsi="楷体" w:eastAsia="楷体"/>
          <w:b w:val="0"/>
          <w:sz w:val="21"/>
        </w:rPr>
        <w:t>。</w:t>
      </w:r>
    </w:p>
    <w:p>
      <w:pPr>
        <w:spacing w:after="160"/>
        <w:ind w:left="560"/>
      </w:pPr>
      <w:r>
        <w:rPr>
          <w:rFonts w:ascii="楷体" w:hAnsi="楷体" w:eastAsia="楷体"/>
          <w:b w:val="0"/>
          <w:color w:val="777777"/>
          <w:sz w:val="18"/>
        </w:rPr>
        <w:t>—— 36 号令第八条</w:t>
      </w:r>
    </w:p>
    <w:p>
      <w:pPr>
        <w:pStyle w:val="ListBullet"/>
        <w:spacing w:line="324" w:lineRule="auto" w:after="60"/>
        <w:ind w:left="440"/>
      </w:pPr>
      <w:r>
        <w:rPr>
          <w:rFonts w:ascii="宋体" w:hAnsi="宋体" w:eastAsia="宋体"/>
          <w:b w:val="0"/>
          <w:sz w:val="21"/>
        </w:rPr>
        <w:t>它</w:t>
      </w:r>
      <w:r>
        <w:rPr>
          <w:rFonts w:ascii="宋体" w:hAnsi="宋体" w:eastAsia="宋体"/>
          <w:b/>
          <w:sz w:val="21"/>
        </w:rPr>
        <w:t>不是法定固定数字</w:t>
      </w:r>
      <w:r>
        <w:rPr>
          <w:rFonts w:ascii="宋体" w:hAnsi="宋体" w:eastAsia="宋体"/>
          <w:b w:val="0"/>
          <w:sz w:val="21"/>
        </w:rPr>
        <w:t>，而是由集团研究确定、报备案的一个值，各地也有称「最低持股比例」的。</w:t>
      </w:r>
    </w:p>
    <w:p>
      <w:pPr>
        <w:pStyle w:val="ListBullet"/>
        <w:spacing w:line="324" w:lineRule="auto" w:after="60"/>
        <w:ind w:left="440"/>
      </w:pPr>
      <w:r>
        <w:rPr>
          <w:rFonts w:ascii="宋体" w:hAnsi="宋体" w:eastAsia="宋体"/>
          <w:b w:val="0"/>
          <w:sz w:val="21"/>
        </w:rPr>
        <w:t>同一控制人下的持股要</w:t>
      </w:r>
      <w:r>
        <w:rPr>
          <w:rFonts w:ascii="宋体" w:hAnsi="宋体" w:eastAsia="宋体"/>
          <w:b/>
          <w:sz w:val="21"/>
        </w:rPr>
        <w:t>合并计算</w:t>
      </w:r>
      <w:r>
        <w:rPr>
          <w:rFonts w:ascii="宋体" w:hAnsi="宋体" w:eastAsia="宋体"/>
          <w:b w:val="0"/>
          <w:sz w:val="21"/>
        </w:rPr>
        <w:t>，分散在几个平台的国有持股不能分开算。</w:t>
      </w:r>
    </w:p>
    <w:p>
      <w:pPr>
        <w:pStyle w:val="ListBullet"/>
        <w:spacing w:line="324" w:lineRule="auto" w:after="60"/>
        <w:ind w:left="440"/>
      </w:pPr>
      <w:r>
        <w:rPr>
          <w:rFonts w:ascii="宋体" w:hAnsi="宋体" w:eastAsia="宋体"/>
          <w:b w:val="0"/>
          <w:sz w:val="21"/>
        </w:rPr>
        <w:t>具体办法</w:t>
      </w:r>
      <w:r>
        <w:rPr>
          <w:rFonts w:ascii="宋体" w:hAnsi="宋体" w:eastAsia="宋体"/>
          <w:b/>
          <w:sz w:val="21"/>
        </w:rPr>
        <w:t>由省级以上国资委另行制定</w:t>
      </w:r>
      <w:r>
        <w:rPr>
          <w:rFonts w:ascii="宋体" w:hAnsi="宋体" w:eastAsia="宋体"/>
          <w:b w:val="0"/>
          <w:sz w:val="21"/>
        </w:rPr>
        <w:t>，因此存在地区差异。</w:t>
      </w:r>
    </w:p>
    <w:p>
      <w:pPr>
        <w:spacing w:before="80" w:after="160" w:line="312" w:lineRule="auto"/>
        <w:ind w:left="360"/>
      </w:pPr>
      <w:r>
        <w:rPr>
          <w:rFonts w:ascii="宋体" w:hAnsi="宋体" w:eastAsia="宋体"/>
          <w:b w:val="0"/>
          <w:color w:val="8A5000"/>
          <w:sz w:val="20"/>
        </w:rPr>
        <w:t>如果集团没有事先确定并备案合理持股比例，「本次发行摊薄后是否仍在合理持股比例之上」就失去基准，第六十四条要求方案必须包含的「对国有股东控股地位影响的分析」也难以成立。这项基础工作应当在方案定型之前完成，而不是等报批时再补。</w:t>
      </w:r>
    </w:p>
    <w:p>
      <w:pPr>
        <w:spacing w:before="220" w:after="100"/>
      </w:pPr>
      <w:r>
        <w:rPr>
          <w:rFonts w:ascii="黑体" w:hAnsi="黑体" w:eastAsia="黑体"/>
          <w:b/>
          <w:sz w:val="25"/>
        </w:rPr>
        <w:t>六、「集团自审」不等于「不留痕」</w:t>
      </w:r>
    </w:p>
    <w:p>
      <w:pPr>
        <w:spacing w:before="120" w:after="120" w:line="324" w:lineRule="auto"/>
        <w:ind w:left="560" w:right="280"/>
      </w:pPr>
      <w:r>
        <w:rPr>
          <w:rFonts w:ascii="楷体" w:hAnsi="楷体" w:eastAsia="楷体"/>
          <w:b w:val="0"/>
          <w:sz w:val="21"/>
        </w:rPr>
        <w:t>按照本办法规定</w:t>
      </w:r>
      <w:r>
        <w:rPr>
          <w:rFonts w:ascii="楷体" w:hAnsi="楷体" w:eastAsia="楷体"/>
          <w:b/>
          <w:sz w:val="21"/>
        </w:rPr>
        <w:t>由国家出资企业审核批准的变动事项，须通过管理信息系统作备案管理，并取得统一编号的备案表</w:t>
      </w:r>
      <w:r>
        <w:rPr>
          <w:rFonts w:ascii="楷体" w:hAnsi="楷体" w:eastAsia="楷体"/>
          <w:b w:val="0"/>
          <w:sz w:val="21"/>
        </w:rPr>
        <w:t>。</w:t>
      </w:r>
    </w:p>
    <w:p>
      <w:pPr>
        <w:spacing w:after="160"/>
        <w:ind w:left="560"/>
      </w:pPr>
      <w:r>
        <w:rPr>
          <w:rFonts w:ascii="楷体" w:hAnsi="楷体" w:eastAsia="楷体"/>
          <w:b w:val="0"/>
          <w:color w:val="777777"/>
          <w:sz w:val="18"/>
        </w:rPr>
        <w:t>—— 36 号令第十一条</w:t>
      </w:r>
    </w:p>
    <w:p>
      <w:pPr>
        <w:ind w:firstLine="440"/>
      </w:pPr>
      <w:r>
        <w:rPr>
          <w:rFonts w:ascii="宋体" w:hAnsi="宋体" w:eastAsia="宋体"/>
          <w:b w:val="0"/>
          <w:sz w:val="22"/>
        </w:rPr>
        <w:t>所以「集团自审」这条路的产出物不是一份内部批文了事，而是</w:t>
      </w:r>
      <w:r>
        <w:rPr>
          <w:rFonts w:ascii="宋体" w:hAnsi="宋体" w:eastAsia="宋体"/>
          <w:b/>
          <w:sz w:val="22"/>
        </w:rPr>
        <w:t>系统出具的统一编号备案表</w:t>
      </w:r>
      <w:r>
        <w:rPr>
          <w:rFonts w:ascii="宋体" w:hAnsi="宋体" w:eastAsia="宋体"/>
          <w:b w:val="0"/>
          <w:sz w:val="22"/>
        </w:rPr>
        <w:t>。这份备案表有硬用途——第二十七条即把批准文件或统一编号的备案表列为办理股份过户登记的必备文件之一。</w:t>
      </w:r>
    </w:p>
    <w:p>
      <w:pPr>
        <w:spacing w:before="220" w:after="100"/>
      </w:pPr>
      <w:r>
        <w:rPr>
          <w:rFonts w:ascii="黑体" w:hAnsi="黑体" w:eastAsia="黑体"/>
          <w:b/>
          <w:sz w:val="25"/>
        </w:rPr>
        <w:t>七、三条贯穿始终的要求与责任</w:t>
      </w:r>
    </w:p>
    <w:p>
      <w:pPr>
        <w:pStyle w:val="ListBullet"/>
        <w:spacing w:line="324" w:lineRule="auto" w:after="60"/>
        <w:ind w:left="440"/>
      </w:pPr>
      <w:r>
        <w:rPr>
          <w:rFonts w:ascii="宋体" w:hAnsi="宋体" w:eastAsia="宋体"/>
          <w:b/>
          <w:sz w:val="21"/>
        </w:rPr>
        <w:t>权属清晰（第五条）</w:t>
      </w:r>
      <w:r>
        <w:rPr>
          <w:rFonts w:ascii="宋体" w:hAnsi="宋体" w:eastAsia="宋体"/>
          <w:b w:val="0"/>
          <w:sz w:val="21"/>
        </w:rPr>
        <w:t>：涉及的股份应权属清晰，不存在受法律法规规定限制的情形。</w:t>
      </w:r>
    </w:p>
    <w:p>
      <w:pPr>
        <w:pStyle w:val="ListBullet"/>
        <w:spacing w:line="324" w:lineRule="auto" w:after="60"/>
        <w:ind w:left="440"/>
      </w:pPr>
      <w:r>
        <w:rPr>
          <w:rFonts w:ascii="宋体" w:hAnsi="宋体" w:eastAsia="宋体"/>
          <w:b/>
          <w:sz w:val="21"/>
        </w:rPr>
        <w:t>合理定价（第十条）</w:t>
      </w:r>
      <w:r>
        <w:rPr>
          <w:rFonts w:ascii="宋体" w:hAnsi="宋体" w:eastAsia="宋体"/>
          <w:b w:val="0"/>
          <w:sz w:val="21"/>
        </w:rPr>
        <w:t>：应根据证券市场公开交易价格、可比公司股票交易价格、每股净资产值等因素合理定价。这是国资端的独立要求，与证监会体系下的发行定价规则并行。</w:t>
      </w:r>
    </w:p>
    <w:p>
      <w:pPr>
        <w:pStyle w:val="ListBullet"/>
        <w:spacing w:line="324" w:lineRule="auto" w:after="60"/>
        <w:ind w:left="440"/>
      </w:pPr>
      <w:r>
        <w:rPr>
          <w:rFonts w:ascii="宋体" w:hAnsi="宋体" w:eastAsia="宋体"/>
          <w:b/>
          <w:sz w:val="21"/>
        </w:rPr>
        <w:t>披露前保密（第九条）</w:t>
      </w:r>
      <w:r>
        <w:rPr>
          <w:rFonts w:ascii="宋体" w:hAnsi="宋体" w:eastAsia="宋体"/>
          <w:b w:val="0"/>
          <w:sz w:val="21"/>
        </w:rPr>
        <w:t>：在国有股权变动信息披露前，各关联方要严格遵守保密规定，违反的应依法依规追究相关人员责任。筹划阶段的知情人管理在国资端有独立依据。</w:t>
      </w:r>
    </w:p>
    <w:p>
      <w:pPr>
        <w:ind w:firstLine="440"/>
      </w:pPr>
      <w:r>
        <w:rPr>
          <w:rFonts w:ascii="宋体" w:hAnsi="宋体" w:eastAsia="宋体"/>
          <w:b/>
          <w:sz w:val="22"/>
        </w:rPr>
        <w:t>责任条款（第七十一条）</w:t>
      </w:r>
      <w:r>
        <w:rPr>
          <w:rFonts w:ascii="宋体" w:hAnsi="宋体" w:eastAsia="宋体"/>
          <w:b w:val="0"/>
          <w:sz w:val="22"/>
        </w:rPr>
        <w:t>：违反规定变动上市公司国有股权</w:t>
      </w:r>
      <w:r>
        <w:rPr>
          <w:rFonts w:ascii="宋体" w:hAnsi="宋体" w:eastAsia="宋体"/>
          <w:b/>
          <w:sz w:val="22"/>
        </w:rPr>
        <w:t>并造成国有资产损失</w:t>
      </w:r>
      <w:r>
        <w:rPr>
          <w:rFonts w:ascii="宋体" w:hAnsi="宋体" w:eastAsia="宋体"/>
          <w:b w:val="0"/>
          <w:sz w:val="22"/>
        </w:rPr>
        <w:t>的，国资监管机构可责令限期纠正；直接责任人员按权限给予纪律处分，造成损失的应负赔偿责任，涉嫌犯罪的移送司法机关。注意触发要件含「造成国有资产损失」，但这不意味着没有损失就没有后果——程序瑕疵在证券监管端会直接反映为发行注册的障碍。</w:t>
      </w:r>
    </w:p>
    <w:p>
      <w:pPr>
        <w:spacing w:before="320" w:after="160"/>
      </w:pPr>
      <w:r>
        <w:rPr>
          <w:rFonts w:ascii="黑体" w:hAnsi="黑体" w:eastAsia="黑体"/>
          <w:b/>
          <w:sz w:val="30"/>
        </w:rPr>
        <w:t>第二部分　批复卡在哪个时点、要交什么</w:t>
      </w:r>
    </w:p>
    <w:p>
      <w:pPr>
        <w:spacing w:before="220" w:after="100"/>
      </w:pPr>
      <w:r>
        <w:rPr>
          <w:rFonts w:ascii="黑体" w:hAnsi="黑体" w:eastAsia="黑体"/>
          <w:b/>
          <w:sz w:val="25"/>
        </w:rPr>
        <w:t>一、先给结论</w:t>
      </w:r>
    </w:p>
    <w:tbl>
      <w:tblPr>
        <w:tblStyle w:val="TableGrid"/>
        <w:tblW w:type="auto" w:w="0"/>
        <w:jc w:val="center"/>
        <w:tblLook w:firstColumn="1" w:firstRow="1" w:lastColumn="0" w:lastRow="0" w:noHBand="0" w:noVBand="1" w:val="04A0"/>
      </w:tblPr>
      <w:tblGrid>
        <w:gridCol w:w="3097"/>
        <w:gridCol w:w="3097"/>
        <w:gridCol w:w="3097"/>
      </w:tblGrid>
      <w:tr>
        <w:tc>
          <w:tcPr>
            <w:tcW w:type="dxa" w:w="2041"/>
            <w:shd w:fill="EEF2F7"/>
          </w:tcPr>
          <w:p>
            <w:pPr>
              <w:jc w:val="center"/>
            </w:pPr>
            <w:r>
              <w:rPr>
                <w:rFonts w:ascii="黑体" w:hAnsi="黑体" w:eastAsia="黑体"/>
                <w:b/>
                <w:sz w:val="20"/>
              </w:rPr>
              <w:t>节点</w:t>
            </w:r>
          </w:p>
        </w:tc>
        <w:tc>
          <w:tcPr>
            <w:tcW w:type="dxa" w:w="3175"/>
            <w:shd w:fill="EEF2F7"/>
          </w:tcPr>
          <w:p>
            <w:pPr>
              <w:jc w:val="center"/>
            </w:pPr>
            <w:r>
              <w:rPr>
                <w:rFonts w:ascii="黑体" w:hAnsi="黑体" w:eastAsia="黑体"/>
                <w:b/>
                <w:sz w:val="20"/>
              </w:rPr>
              <w:t>发行证券（含定增募资）</w:t>
            </w:r>
          </w:p>
        </w:tc>
        <w:tc>
          <w:tcPr>
            <w:tcW w:type="dxa" w:w="3402"/>
            <w:shd w:fill="EEF2F7"/>
          </w:tcPr>
          <w:p>
            <w:pPr>
              <w:jc w:val="center"/>
            </w:pPr>
            <w:r>
              <w:rPr>
                <w:rFonts w:ascii="黑体" w:hAnsi="黑体" w:eastAsia="黑体"/>
                <w:b/>
                <w:sz w:val="20"/>
              </w:rPr>
              <w:t>资产重组（发股购买资产）</w:t>
            </w:r>
          </w:p>
        </w:tc>
      </w:tr>
      <w:tr>
        <w:tc>
          <w:tcPr>
            <w:tcW w:type="dxa" w:w="2041"/>
          </w:tcPr>
          <w:p>
            <w:pPr>
              <w:spacing w:after="40" w:line="288" w:lineRule="auto"/>
            </w:pPr>
            <w:r>
              <w:rPr>
                <w:rFonts w:ascii="宋体" w:hAnsi="宋体" w:eastAsia="宋体"/>
                <w:b w:val="0"/>
                <w:sz w:val="19"/>
              </w:rPr>
              <w:t>上市公司董事会审议</w:t>
            </w:r>
            <w:r>
              <w:rPr>
                <w:rFonts w:ascii="宋体" w:hAnsi="宋体" w:eastAsia="宋体"/>
                <w:b/>
                <w:sz w:val="19"/>
              </w:rPr>
              <w:t>前</w:t>
            </w:r>
          </w:p>
        </w:tc>
        <w:tc>
          <w:tcPr>
            <w:tcW w:type="dxa" w:w="3175"/>
          </w:tcPr>
          <w:p>
            <w:pPr>
              <w:spacing w:after="40" w:line="288" w:lineRule="auto"/>
            </w:pPr>
            <w:r>
              <w:rPr>
                <w:rFonts w:ascii="宋体" w:hAnsi="宋体" w:eastAsia="宋体"/>
                <w:b/>
                <w:sz w:val="19"/>
              </w:rPr>
              <w:t>无</w:t>
            </w:r>
            <w:r>
              <w:rPr>
                <w:rFonts w:ascii="宋体" w:hAnsi="宋体" w:eastAsia="宋体"/>
                <w:b w:val="0"/>
                <w:sz w:val="19"/>
              </w:rPr>
              <w:t>强制的国资预审核环节</w:t>
            </w:r>
          </w:p>
        </w:tc>
        <w:tc>
          <w:tcPr>
            <w:tcW w:type="dxa" w:w="3402"/>
          </w:tcPr>
          <w:p>
            <w:pPr>
              <w:spacing w:after="40" w:line="288" w:lineRule="auto"/>
            </w:pPr>
            <w:r>
              <w:rPr>
                <w:rFonts w:ascii="宋体" w:hAnsi="宋体" w:eastAsia="宋体"/>
                <w:b/>
                <w:sz w:val="19"/>
              </w:rPr>
              <w:t>必须</w:t>
            </w:r>
            <w:r>
              <w:rPr>
                <w:rFonts w:ascii="宋体" w:hAnsi="宋体" w:eastAsia="宋体"/>
                <w:b w:val="0"/>
                <w:sz w:val="19"/>
              </w:rPr>
              <w:t>报预审核，并由国资监管机构通过管理信息系统出具意见（第 66 条）</w:t>
            </w:r>
          </w:p>
        </w:tc>
      </w:tr>
      <w:tr>
        <w:tc>
          <w:tcPr>
            <w:tcW w:type="dxa" w:w="2041"/>
          </w:tcPr>
          <w:p>
            <w:pPr>
              <w:spacing w:after="40" w:line="288" w:lineRule="auto"/>
            </w:pPr>
            <w:r>
              <w:rPr>
                <w:rFonts w:ascii="宋体" w:hAnsi="宋体" w:eastAsia="宋体"/>
                <w:b w:val="0"/>
                <w:sz w:val="19"/>
              </w:rPr>
              <w:t>股东大会召开</w:t>
            </w:r>
            <w:r>
              <w:rPr>
                <w:rFonts w:ascii="宋体" w:hAnsi="宋体" w:eastAsia="宋体"/>
                <w:b/>
                <w:sz w:val="19"/>
              </w:rPr>
              <w:t>前</w:t>
            </w:r>
          </w:p>
        </w:tc>
        <w:tc>
          <w:tcPr>
            <w:tcW w:type="dxa" w:w="3175"/>
          </w:tcPr>
          <w:p>
            <w:pPr>
              <w:spacing w:after="40" w:line="288" w:lineRule="auto"/>
            </w:pPr>
            <w:r>
              <w:rPr>
                <w:rFonts w:ascii="宋体" w:hAnsi="宋体" w:eastAsia="宋体"/>
                <w:b w:val="0"/>
                <w:sz w:val="19"/>
              </w:rPr>
              <w:t>取得批准（第 63 条）</w:t>
            </w:r>
          </w:p>
        </w:tc>
        <w:tc>
          <w:tcPr>
            <w:tcW w:type="dxa" w:w="3402"/>
          </w:tcPr>
          <w:p>
            <w:pPr>
              <w:spacing w:after="40" w:line="288" w:lineRule="auto"/>
            </w:pPr>
            <w:r>
              <w:rPr>
                <w:rFonts w:ascii="宋体" w:hAnsi="宋体" w:eastAsia="宋体"/>
                <w:b w:val="0"/>
                <w:sz w:val="19"/>
              </w:rPr>
              <w:t>取得批准（第 67 条）</w:t>
            </w:r>
          </w:p>
        </w:tc>
      </w:tr>
      <w:tr>
        <w:tc>
          <w:tcPr>
            <w:tcW w:type="dxa" w:w="2041"/>
          </w:tcPr>
          <w:p>
            <w:pPr>
              <w:spacing w:after="40" w:line="288" w:lineRule="auto"/>
            </w:pPr>
            <w:r>
              <w:rPr>
                <w:rFonts w:ascii="宋体" w:hAnsi="宋体" w:eastAsia="宋体"/>
                <w:b w:val="0"/>
                <w:sz w:val="19"/>
              </w:rPr>
              <w:t>报送文件</w:t>
            </w:r>
          </w:p>
        </w:tc>
        <w:tc>
          <w:tcPr>
            <w:tcW w:type="dxa" w:w="3175"/>
          </w:tcPr>
          <w:p>
            <w:pPr>
              <w:spacing w:after="40" w:line="288" w:lineRule="auto"/>
            </w:pPr>
            <w:r>
              <w:rPr>
                <w:rFonts w:ascii="宋体" w:hAnsi="宋体" w:eastAsia="宋体"/>
                <w:b w:val="0"/>
                <w:sz w:val="19"/>
              </w:rPr>
              <w:t>第 64 条五项</w:t>
            </w:r>
          </w:p>
        </w:tc>
        <w:tc>
          <w:tcPr>
            <w:tcW w:type="dxa" w:w="3402"/>
          </w:tcPr>
          <w:p>
            <w:pPr>
              <w:spacing w:after="40" w:line="288" w:lineRule="auto"/>
            </w:pPr>
            <w:r>
              <w:rPr>
                <w:rFonts w:ascii="宋体" w:hAnsi="宋体" w:eastAsia="宋体"/>
                <w:b w:val="0"/>
                <w:sz w:val="19"/>
              </w:rPr>
              <w:t>第 68 条五项（含</w:t>
            </w:r>
            <w:r>
              <w:rPr>
                <w:rFonts w:ascii="宋体" w:hAnsi="宋体" w:eastAsia="宋体"/>
                <w:b/>
                <w:sz w:val="19"/>
              </w:rPr>
              <w:t>评估备案表或核准文件</w:t>
            </w:r>
            <w:r>
              <w:rPr>
                <w:rFonts w:ascii="宋体" w:hAnsi="宋体" w:eastAsia="宋体"/>
                <w:b w:val="0"/>
                <w:sz w:val="19"/>
              </w:rPr>
              <w:t>）</w:t>
            </w:r>
          </w:p>
        </w:tc>
      </w:tr>
    </w:tbl>
    <w:p>
      <w:pPr>
        <w:spacing w:after="80"/>
      </w:pPr>
    </w:p>
    <w:p>
      <w:pPr>
        <w:spacing w:before="120" w:after="120" w:line="324" w:lineRule="auto"/>
        <w:ind w:left="560" w:right="280"/>
      </w:pPr>
      <w:r>
        <w:rPr>
          <w:rFonts w:ascii="楷体" w:hAnsi="楷体" w:eastAsia="楷体"/>
          <w:b w:val="0"/>
          <w:sz w:val="21"/>
        </w:rPr>
        <w:t>纯粹募集资金的定增，</w:t>
      </w:r>
      <w:r>
        <w:rPr>
          <w:rFonts w:ascii="楷体" w:hAnsi="楷体" w:eastAsia="楷体"/>
          <w:b/>
          <w:sz w:val="21"/>
        </w:rPr>
        <w:t>披露预案的董事会之前，36 号令层面不存在必须先取得的国资批准或预审核</w:t>
      </w:r>
      <w:r>
        <w:rPr>
          <w:rFonts w:ascii="楷体" w:hAnsi="楷体" w:eastAsia="楷体"/>
          <w:b w:val="0"/>
          <w:sz w:val="21"/>
        </w:rPr>
        <w:t>；国资的正式批准发生在董事会之后、股东大会之前。</w:t>
      </w:r>
      <w:r>
        <w:rPr>
          <w:rFonts w:ascii="楷体" w:hAnsi="楷体" w:eastAsia="楷体"/>
          <w:b/>
          <w:sz w:val="21"/>
        </w:rPr>
        <w:t>「董事会前预审核」是资产重组专属的环节。</w:t>
      </w:r>
    </w:p>
    <w:p>
      <w:pPr>
        <w:spacing w:before="220" w:after="100"/>
      </w:pPr>
      <w:r>
        <w:rPr>
          <w:rFonts w:ascii="黑体" w:hAnsi="黑体" w:eastAsia="黑体"/>
          <w:b/>
          <w:sz w:val="25"/>
        </w:rPr>
        <w:t>二、发行证券这条线</w:t>
      </w:r>
    </w:p>
    <w:p>
      <w:pPr>
        <w:ind w:firstLine="440"/>
      </w:pPr>
      <w:r>
        <w:rPr>
          <w:rFonts w:ascii="宋体" w:hAnsi="宋体" w:eastAsia="宋体"/>
          <w:b/>
          <w:sz w:val="22"/>
        </w:rPr>
        <w:t>范围（第六十二条）</w:t>
      </w:r>
      <w:r>
        <w:rPr>
          <w:rFonts w:ascii="宋体" w:hAnsi="宋体" w:eastAsia="宋体"/>
          <w:b w:val="0"/>
          <w:sz w:val="22"/>
        </w:rPr>
        <w:t>：「发行证券」比「定增」更大，包括上市公司采用公开方式向原股东配售股份、向不特定对象公开募集股份、采用非公开方式向特定对象发行股份，以及发行可转换公司债券等行为。市场说的「定增」对应第三项。</w:t>
      </w:r>
    </w:p>
    <w:p>
      <w:pPr>
        <w:ind w:firstLine="440"/>
      </w:pPr>
      <w:r>
        <w:rPr>
          <w:rFonts w:ascii="宋体" w:hAnsi="宋体" w:eastAsia="宋体"/>
          <w:b/>
          <w:sz w:val="22"/>
        </w:rPr>
        <w:t>时点（第六十三条）</w:t>
      </w:r>
      <w:r>
        <w:rPr>
          <w:rFonts w:ascii="宋体" w:hAnsi="宋体" w:eastAsia="宋体"/>
          <w:b w:val="0"/>
          <w:sz w:val="22"/>
        </w:rPr>
        <w:t>：国有股东所控股上市公司发行证券，应当</w:t>
      </w:r>
      <w:r>
        <w:rPr>
          <w:rFonts w:ascii="宋体" w:hAnsi="宋体" w:eastAsia="宋体"/>
          <w:b/>
          <w:sz w:val="22"/>
        </w:rPr>
        <w:t>在股东大会召开前取得批准</w:t>
      </w:r>
      <w:r>
        <w:rPr>
          <w:rFonts w:ascii="宋体" w:hAnsi="宋体" w:eastAsia="宋体"/>
          <w:b w:val="0"/>
          <w:sz w:val="22"/>
        </w:rPr>
        <w:t>；属于第七条情形的由国家出资企业审核批准，其他情形报国资监管机构审核批准。整条只锚定一个时点，未对董事会环节提出任何前置要求。实务通常由董事会通过</w:t>
      </w:r>
      <w:r>
        <w:rPr>
          <w:rFonts w:ascii="宋体" w:hAnsi="宋体" w:eastAsia="宋体"/>
          <w:b/>
          <w:sz w:val="22"/>
        </w:rPr>
        <w:t>附条件生效</w:t>
      </w:r>
      <w:r>
        <w:rPr>
          <w:rFonts w:ascii="宋体" w:hAnsi="宋体" w:eastAsia="宋体"/>
          <w:b w:val="0"/>
          <w:sz w:val="22"/>
        </w:rPr>
        <w:t>的发行预案与认购协议，再在股东大会召开前取得批复。</w:t>
      </w:r>
    </w:p>
    <w:p>
      <w:pPr>
        <w:ind w:firstLine="440"/>
      </w:pPr>
      <w:r>
        <w:rPr>
          <w:rFonts w:ascii="宋体" w:hAnsi="宋体" w:eastAsia="宋体"/>
          <w:b/>
          <w:sz w:val="22"/>
        </w:rPr>
        <w:t>报送文件（第六十四条）</w:t>
      </w:r>
      <w:r>
        <w:rPr>
          <w:rFonts w:ascii="宋体" w:hAnsi="宋体" w:eastAsia="宋体"/>
          <w:b w:val="0"/>
          <w:sz w:val="22"/>
        </w:rPr>
        <w:t>：</w:t>
      </w:r>
    </w:p>
    <w:p>
      <w:pPr>
        <w:pStyle w:val="ListBullet"/>
        <w:spacing w:line="324" w:lineRule="auto" w:after="60"/>
        <w:ind w:left="440"/>
      </w:pPr>
      <w:r>
        <w:rPr>
          <w:rFonts w:ascii="宋体" w:hAnsi="宋体" w:eastAsia="宋体"/>
          <w:b w:val="0"/>
          <w:sz w:val="21"/>
        </w:rPr>
        <w:t>（一）上市公司董事会决议；</w:t>
      </w:r>
    </w:p>
    <w:p>
      <w:pPr>
        <w:pStyle w:val="ListBullet"/>
        <w:spacing w:line="324" w:lineRule="auto" w:after="60"/>
        <w:ind w:left="440"/>
      </w:pPr>
      <w:r>
        <w:rPr>
          <w:rFonts w:ascii="宋体" w:hAnsi="宋体" w:eastAsia="宋体"/>
          <w:b w:val="0"/>
          <w:sz w:val="21"/>
        </w:rPr>
        <w:t>（二）发行证券的方案，含相关国有股东与上市公司基本情况、发行方式数量价格、募集资金用途、</w:t>
      </w:r>
      <w:r>
        <w:rPr>
          <w:rFonts w:ascii="宋体" w:hAnsi="宋体" w:eastAsia="宋体"/>
          <w:b/>
          <w:sz w:val="21"/>
        </w:rPr>
        <w:t>对国有股东控股地位影响的分析</w:t>
      </w:r>
      <w:r>
        <w:rPr>
          <w:rFonts w:ascii="宋体" w:hAnsi="宋体" w:eastAsia="宋体"/>
          <w:b w:val="0"/>
          <w:sz w:val="21"/>
        </w:rPr>
        <w:t>、发行可转债的风险评估论证及偿本付息与应对债务风险的具体方案等；</w:t>
      </w:r>
    </w:p>
    <w:p>
      <w:pPr>
        <w:pStyle w:val="ListBullet"/>
        <w:spacing w:line="324" w:lineRule="auto" w:after="60"/>
        <w:ind w:left="440"/>
      </w:pPr>
      <w:r>
        <w:rPr>
          <w:rFonts w:ascii="宋体" w:hAnsi="宋体" w:eastAsia="宋体"/>
          <w:b w:val="0"/>
          <w:sz w:val="21"/>
        </w:rPr>
        <w:t>（三）可行性研究报告；</w:t>
      </w:r>
    </w:p>
    <w:p>
      <w:pPr>
        <w:pStyle w:val="ListBullet"/>
        <w:spacing w:line="324" w:lineRule="auto" w:after="60"/>
        <w:ind w:left="440"/>
      </w:pPr>
      <w:r>
        <w:rPr>
          <w:rFonts w:ascii="宋体" w:hAnsi="宋体" w:eastAsia="宋体"/>
          <w:b w:val="0"/>
          <w:sz w:val="21"/>
        </w:rPr>
        <w:t>（四）律师事务所出具的法律意见书；</w:t>
      </w:r>
    </w:p>
    <w:p>
      <w:pPr>
        <w:pStyle w:val="ListBullet"/>
        <w:spacing w:line="324" w:lineRule="auto" w:after="60"/>
        <w:ind w:left="440"/>
      </w:pPr>
      <w:r>
        <w:rPr>
          <w:rFonts w:ascii="宋体" w:hAnsi="宋体" w:eastAsia="宋体"/>
          <w:b w:val="0"/>
          <w:sz w:val="21"/>
        </w:rPr>
        <w:t>（五）国家出资企业、国有资产监督管理机构认为必要的其他文件。</w:t>
      </w:r>
    </w:p>
    <w:p>
      <w:pPr>
        <w:spacing w:before="80" w:after="160" w:line="312" w:lineRule="auto"/>
        <w:ind w:left="360"/>
      </w:pPr>
      <w:r>
        <w:rPr>
          <w:rFonts w:ascii="宋体" w:hAnsi="宋体" w:eastAsia="宋体"/>
          <w:b w:val="0"/>
          <w:color w:val="8A5000"/>
          <w:sz w:val="20"/>
        </w:rPr>
        <w:t>第（二）项里的「对国有股东控股地位影响的分析」是这份材料的实质核心，正是「合理持股比例」在报批文件中的落点。第（五）项是开放项，各地办事指引通常在此项下细化（如集团请示、内部决策文件、近三年又一期审计财报、募投项目可行性或立项批准文件等），清单因地区而异。</w:t>
      </w:r>
    </w:p>
    <w:p>
      <w:pPr>
        <w:spacing w:before="220" w:after="100"/>
      </w:pPr>
      <w:r>
        <w:rPr>
          <w:rFonts w:ascii="黑体" w:hAnsi="黑体" w:eastAsia="黑体"/>
          <w:b/>
          <w:sz w:val="25"/>
        </w:rPr>
        <w:t>三、资产重组那条线</w:t>
      </w:r>
    </w:p>
    <w:p>
      <w:pPr>
        <w:spacing w:before="120" w:after="120" w:line="324" w:lineRule="auto"/>
        <w:ind w:left="560" w:right="280"/>
      </w:pPr>
      <w:r>
        <w:rPr>
          <w:rFonts w:ascii="楷体" w:hAnsi="楷体" w:eastAsia="楷体"/>
          <w:b w:val="0"/>
          <w:sz w:val="21"/>
        </w:rPr>
        <w:t>本办法所称国有股东与上市公司进行资产重组，是指国有股东</w:t>
      </w:r>
      <w:r>
        <w:rPr>
          <w:rFonts w:ascii="楷体" w:hAnsi="楷体" w:eastAsia="楷体"/>
          <w:b/>
          <w:sz w:val="21"/>
        </w:rPr>
        <w:t>向上市公司注入、购买或置换资产</w:t>
      </w:r>
      <w:r>
        <w:rPr>
          <w:rFonts w:ascii="楷体" w:hAnsi="楷体" w:eastAsia="楷体"/>
          <w:b w:val="0"/>
          <w:sz w:val="21"/>
        </w:rPr>
        <w:t>并</w:t>
      </w:r>
      <w:r>
        <w:rPr>
          <w:rFonts w:ascii="楷体" w:hAnsi="楷体" w:eastAsia="楷体"/>
          <w:b/>
          <w:sz w:val="21"/>
        </w:rPr>
        <w:t>涉及国有股东所持上市公司股份发生变化</w:t>
      </w:r>
      <w:r>
        <w:rPr>
          <w:rFonts w:ascii="楷体" w:hAnsi="楷体" w:eastAsia="楷体"/>
          <w:b w:val="0"/>
          <w:sz w:val="21"/>
        </w:rPr>
        <w:t>的情形。</w:t>
      </w:r>
    </w:p>
    <w:p>
      <w:pPr>
        <w:spacing w:after="160"/>
        <w:ind w:left="560"/>
      </w:pPr>
      <w:r>
        <w:rPr>
          <w:rFonts w:ascii="楷体" w:hAnsi="楷体" w:eastAsia="楷体"/>
          <w:b w:val="0"/>
          <w:color w:val="777777"/>
          <w:sz w:val="18"/>
        </w:rPr>
        <w:t>—— 36 号令第六十五条</w:t>
      </w:r>
    </w:p>
    <w:p>
      <w:pPr>
        <w:ind w:firstLine="440"/>
      </w:pPr>
      <w:r>
        <w:rPr>
          <w:rFonts w:ascii="宋体" w:hAnsi="宋体" w:eastAsia="宋体"/>
          <w:b w:val="0"/>
          <w:sz w:val="22"/>
        </w:rPr>
        <w:t>由此可确认：第 65 至 68 条是资产重组规则段，第 62 至 64 条是发行证券规则段，</w:t>
      </w:r>
      <w:r>
        <w:rPr>
          <w:rFonts w:ascii="宋体" w:hAnsi="宋体" w:eastAsia="宋体"/>
          <w:b/>
          <w:sz w:val="22"/>
        </w:rPr>
        <w:t>两段各自独立、不交叉</w:t>
      </w:r>
      <w:r>
        <w:rPr>
          <w:rFonts w:ascii="宋体" w:hAnsi="宋体" w:eastAsia="宋体"/>
          <w:b w:val="0"/>
          <w:sz w:val="22"/>
        </w:rPr>
        <w:t>。纯粹募集现金、不涉及资产注入的定增不落入第 65 条定义，因而不适用第 66 条的预审核。</w:t>
      </w:r>
    </w:p>
    <w:p>
      <w:pPr>
        <w:spacing w:before="120" w:after="120" w:line="324" w:lineRule="auto"/>
        <w:ind w:left="560" w:right="280"/>
      </w:pPr>
      <w:r>
        <w:rPr>
          <w:rFonts w:ascii="楷体" w:hAnsi="楷体" w:eastAsia="楷体"/>
          <w:b w:val="0"/>
          <w:sz w:val="21"/>
        </w:rPr>
        <w:t>国有股东就资产重组事项进行内部决策后，应书面通知上市公司，由上市公司依法披露，并申请股票停牌。</w:t>
      </w:r>
      <w:r>
        <w:rPr>
          <w:rFonts w:ascii="楷体" w:hAnsi="楷体" w:eastAsia="楷体"/>
          <w:b/>
          <w:sz w:val="21"/>
        </w:rPr>
        <w:t>在上市公司董事会审议资产重组方案前，应当将可行性研究报告报国家出资企业、国有资产监督管理机构预审核，并由国有资产监督管理机构通过管理信息系统出具意见。</w:t>
      </w:r>
    </w:p>
    <w:p>
      <w:pPr>
        <w:spacing w:after="160"/>
        <w:ind w:left="560"/>
      </w:pPr>
      <w:r>
        <w:rPr>
          <w:rFonts w:ascii="楷体" w:hAnsi="楷体" w:eastAsia="楷体"/>
          <w:b w:val="0"/>
          <w:color w:val="777777"/>
          <w:sz w:val="18"/>
        </w:rPr>
        <w:t>—— 36 号令第六十六条</w:t>
      </w:r>
    </w:p>
    <w:p>
      <w:pPr>
        <w:ind w:firstLine="440"/>
      </w:pPr>
      <w:r>
        <w:rPr>
          <w:rFonts w:ascii="宋体" w:hAnsi="宋体" w:eastAsia="宋体"/>
          <w:b w:val="0"/>
          <w:sz w:val="22"/>
        </w:rPr>
        <w:t>顺序是：国有股东内部决策 → 书面通知上市公司 → 上市公司披露并申请停牌 → 报预审核并取得意见 → 董事会审议方案。预审核意见是董事会审议的前置条件。</w:t>
      </w:r>
    </w:p>
    <w:p>
      <w:pPr>
        <w:ind w:firstLine="440"/>
      </w:pPr>
      <w:r>
        <w:rPr>
          <w:rFonts w:ascii="宋体" w:hAnsi="宋体" w:eastAsia="宋体"/>
          <w:b/>
          <w:sz w:val="22"/>
        </w:rPr>
        <w:t>正式批准（第六十七条）</w:t>
      </w:r>
      <w:r>
        <w:rPr>
          <w:rFonts w:ascii="宋体" w:hAnsi="宋体" w:eastAsia="宋体"/>
          <w:b w:val="0"/>
          <w:sz w:val="22"/>
        </w:rPr>
        <w:t>：方案经董事会审议通过后，应在</w:t>
      </w:r>
      <w:r>
        <w:rPr>
          <w:rFonts w:ascii="宋体" w:hAnsi="宋体" w:eastAsia="宋体"/>
          <w:b/>
          <w:sz w:val="22"/>
        </w:rPr>
        <w:t>股东大会召开前</w:t>
      </w:r>
      <w:r>
        <w:rPr>
          <w:rFonts w:ascii="宋体" w:hAnsi="宋体" w:eastAsia="宋体"/>
          <w:b w:val="0"/>
          <w:sz w:val="22"/>
        </w:rPr>
        <w:t>获得相应批准。</w:t>
      </w:r>
      <w:r>
        <w:rPr>
          <w:rFonts w:ascii="宋体" w:hAnsi="宋体" w:eastAsia="宋体"/>
          <w:b/>
          <w:sz w:val="22"/>
        </w:rPr>
        <w:t>报送文件（第六十八条）</w:t>
      </w:r>
      <w:r>
        <w:rPr>
          <w:rFonts w:ascii="宋体" w:hAnsi="宋体" w:eastAsia="宋体"/>
          <w:b w:val="0"/>
          <w:sz w:val="22"/>
        </w:rPr>
        <w:t>：国有股东决策文件和上市公司董事会决议；资产重组方案（含原因目的、标的资产范围与业务情况及近三年损益、未来盈利预测及依据、</w:t>
      </w:r>
      <w:r>
        <w:rPr>
          <w:rFonts w:ascii="宋体" w:hAnsi="宋体" w:eastAsia="宋体"/>
          <w:b/>
          <w:sz w:val="22"/>
        </w:rPr>
        <w:t>相关资产作价说明</w:t>
      </w:r>
      <w:r>
        <w:rPr>
          <w:rFonts w:ascii="宋体" w:hAnsi="宋体" w:eastAsia="宋体"/>
          <w:b w:val="0"/>
          <w:sz w:val="22"/>
        </w:rPr>
        <w:t>、对权益与盈利水平和未来发展的影响等）；</w:t>
      </w:r>
      <w:r>
        <w:rPr>
          <w:rFonts w:ascii="宋体" w:hAnsi="宋体" w:eastAsia="宋体"/>
          <w:b/>
          <w:sz w:val="22"/>
        </w:rPr>
        <w:t>资产重组涉及相关资产的评估备案表或核准文件</w:t>
      </w:r>
      <w:r>
        <w:rPr>
          <w:rFonts w:ascii="宋体" w:hAnsi="宋体" w:eastAsia="宋体"/>
          <w:b w:val="0"/>
          <w:sz w:val="22"/>
        </w:rPr>
        <w:t>；律师事务所法律意见书；认为必要的其他文件。</w:t>
      </w:r>
    </w:p>
    <w:p>
      <w:pPr>
        <w:ind w:firstLine="440"/>
      </w:pPr>
      <w:r>
        <w:rPr>
          <w:rFonts w:ascii="宋体" w:hAnsi="宋体" w:eastAsia="宋体"/>
          <w:b w:val="0"/>
          <w:sz w:val="22"/>
        </w:rPr>
        <w:t>与发行证券那条线相比，最实质的增项是</w:t>
      </w:r>
      <w:r>
        <w:rPr>
          <w:rFonts w:ascii="宋体" w:hAnsi="宋体" w:eastAsia="宋体"/>
          <w:b/>
          <w:sz w:val="22"/>
        </w:rPr>
        <w:t>资产评估必须先完成备案或核准</w:t>
      </w:r>
      <w:r>
        <w:rPr>
          <w:rFonts w:ascii="宋体" w:hAnsi="宋体" w:eastAsia="宋体"/>
          <w:b w:val="0"/>
          <w:sz w:val="22"/>
        </w:rPr>
        <w:t>，这往往是重组项目周期中最难压缩的一段。</w:t>
      </w:r>
    </w:p>
    <w:p>
      <w:pPr>
        <w:spacing w:before="220" w:after="100"/>
      </w:pPr>
      <w:r>
        <w:rPr>
          <w:rFonts w:ascii="黑体" w:hAnsi="黑体" w:eastAsia="黑体"/>
          <w:b/>
          <w:sz w:val="25"/>
        </w:rPr>
        <w:t>四、一个必须指出的问题：还在被引用的废止文件</w:t>
      </w:r>
    </w:p>
    <w:p>
      <w:pPr>
        <w:ind w:firstLine="440"/>
      </w:pPr>
      <w:r>
        <w:rPr>
          <w:rFonts w:ascii="宋体" w:hAnsi="宋体" w:eastAsia="宋体"/>
          <w:b w:val="0"/>
          <w:sz w:val="22"/>
        </w:rPr>
        <w:t>以下文件在北大法宝的时效标注均为</w:t>
      </w:r>
      <w:r>
        <w:rPr>
          <w:rFonts w:ascii="宋体" w:hAnsi="宋体" w:eastAsia="宋体"/>
          <w:b/>
          <w:sz w:val="22"/>
        </w:rPr>
        <w:t>「废止或失效」</w:t>
      </w:r>
      <w:r>
        <w:rPr>
          <w:rFonts w:ascii="宋体" w:hAnsi="宋体" w:eastAsia="宋体"/>
          <w:b w:val="0"/>
          <w:sz w:val="22"/>
        </w:rPr>
        <w:t>：</w:t>
      </w:r>
    </w:p>
    <w:tbl>
      <w:tblPr>
        <w:tblStyle w:val="TableGrid"/>
        <w:tblW w:type="auto" w:w="0"/>
        <w:jc w:val="center"/>
        <w:tblLook w:firstColumn="1" w:firstRow="1" w:lastColumn="0" w:lastRow="0" w:noHBand="0" w:noVBand="1" w:val="04A0"/>
      </w:tblPr>
      <w:tblGrid>
        <w:gridCol w:w="3097"/>
        <w:gridCol w:w="3097"/>
        <w:gridCol w:w="3097"/>
      </w:tblGrid>
      <w:tr>
        <w:tc>
          <w:tcPr>
            <w:tcW w:type="dxa" w:w="4876"/>
            <w:shd w:fill="EEF2F7"/>
          </w:tcPr>
          <w:p>
            <w:pPr>
              <w:jc w:val="center"/>
            </w:pPr>
            <w:r>
              <w:rPr>
                <w:rFonts w:ascii="黑体" w:hAnsi="黑体" w:eastAsia="黑体"/>
                <w:b/>
                <w:sz w:val="20"/>
              </w:rPr>
              <w:t>文件</w:t>
            </w:r>
          </w:p>
        </w:tc>
        <w:tc>
          <w:tcPr>
            <w:tcW w:type="dxa" w:w="2494"/>
            <w:shd w:fill="EEF2F7"/>
          </w:tcPr>
          <w:p>
            <w:pPr>
              <w:jc w:val="center"/>
            </w:pPr>
            <w:r>
              <w:rPr>
                <w:rFonts w:ascii="黑体" w:hAnsi="黑体" w:eastAsia="黑体"/>
                <w:b/>
                <w:sz w:val="20"/>
              </w:rPr>
              <w:t>文号</w:t>
            </w:r>
          </w:p>
        </w:tc>
        <w:tc>
          <w:tcPr>
            <w:tcW w:type="dxa" w:w="1247"/>
            <w:shd w:fill="EEF2F7"/>
          </w:tcPr>
          <w:p>
            <w:pPr>
              <w:jc w:val="center"/>
            </w:pPr>
            <w:r>
              <w:rPr>
                <w:rFonts w:ascii="黑体" w:hAnsi="黑体" w:eastAsia="黑体"/>
                <w:b/>
                <w:sz w:val="20"/>
              </w:rPr>
              <w:t>时效</w:t>
            </w:r>
          </w:p>
        </w:tc>
      </w:tr>
      <w:tr>
        <w:tc>
          <w:tcPr>
            <w:tcW w:type="dxa" w:w="4876"/>
          </w:tcPr>
          <w:p>
            <w:pPr>
              <w:spacing w:after="40" w:line="288" w:lineRule="auto"/>
            </w:pPr>
            <w:r>
              <w:rPr>
                <w:rFonts w:ascii="宋体" w:hAnsi="宋体" w:eastAsia="宋体"/>
                <w:b w:val="0"/>
                <w:sz w:val="19"/>
              </w:rPr>
              <w:t>关于规范上市公司国有股东行为的若干意见</w:t>
            </w:r>
          </w:p>
        </w:tc>
        <w:tc>
          <w:tcPr>
            <w:tcW w:type="dxa" w:w="2494"/>
          </w:tcPr>
          <w:p>
            <w:pPr>
              <w:spacing w:after="40" w:line="288" w:lineRule="auto"/>
            </w:pPr>
            <w:r>
              <w:rPr>
                <w:rFonts w:ascii="宋体" w:hAnsi="宋体" w:eastAsia="宋体"/>
                <w:b w:val="0"/>
                <w:sz w:val="19"/>
              </w:rPr>
              <w:t>国资发产权〔2009〕123 号</w:t>
            </w:r>
          </w:p>
        </w:tc>
        <w:tc>
          <w:tcPr>
            <w:tcW w:type="dxa" w:w="1247"/>
          </w:tcPr>
          <w:p>
            <w:pPr>
              <w:spacing w:after="40" w:line="288" w:lineRule="auto"/>
            </w:pPr>
            <w:r>
              <w:rPr>
                <w:rFonts w:ascii="宋体" w:hAnsi="宋体" w:eastAsia="宋体"/>
                <w:b/>
                <w:sz w:val="19"/>
              </w:rPr>
              <w:t>废止或失效</w:t>
            </w:r>
          </w:p>
        </w:tc>
      </w:tr>
      <w:tr>
        <w:tc>
          <w:tcPr>
            <w:tcW w:type="dxa" w:w="4876"/>
          </w:tcPr>
          <w:p>
            <w:pPr>
              <w:spacing w:after="40" w:line="288" w:lineRule="auto"/>
            </w:pPr>
            <w:r>
              <w:rPr>
                <w:rFonts w:ascii="宋体" w:hAnsi="宋体" w:eastAsia="宋体"/>
                <w:b w:val="0"/>
                <w:sz w:val="19"/>
              </w:rPr>
              <w:t>关于规范国有股东与上市公司进行资产重组有关事项的通知</w:t>
            </w:r>
          </w:p>
        </w:tc>
        <w:tc>
          <w:tcPr>
            <w:tcW w:type="dxa" w:w="2494"/>
          </w:tcPr>
          <w:p>
            <w:pPr>
              <w:spacing w:after="40" w:line="288" w:lineRule="auto"/>
            </w:pPr>
            <w:r>
              <w:rPr>
                <w:rFonts w:ascii="宋体" w:hAnsi="宋体" w:eastAsia="宋体"/>
                <w:b w:val="0"/>
                <w:sz w:val="19"/>
              </w:rPr>
              <w:t>国资发产权〔2009〕124 号</w:t>
            </w:r>
          </w:p>
        </w:tc>
        <w:tc>
          <w:tcPr>
            <w:tcW w:type="dxa" w:w="1247"/>
          </w:tcPr>
          <w:p>
            <w:pPr>
              <w:spacing w:after="40" w:line="288" w:lineRule="auto"/>
            </w:pPr>
            <w:r>
              <w:rPr>
                <w:rFonts w:ascii="宋体" w:hAnsi="宋体" w:eastAsia="宋体"/>
                <w:b/>
                <w:sz w:val="19"/>
              </w:rPr>
              <w:t>废止或失效</w:t>
            </w:r>
          </w:p>
        </w:tc>
      </w:tr>
      <w:tr>
        <w:tc>
          <w:tcPr>
            <w:tcW w:type="dxa" w:w="4876"/>
          </w:tcPr>
          <w:p>
            <w:pPr>
              <w:spacing w:after="40" w:line="288" w:lineRule="auto"/>
            </w:pPr>
            <w:r>
              <w:rPr>
                <w:rFonts w:ascii="宋体" w:hAnsi="宋体" w:eastAsia="宋体"/>
                <w:b w:val="0"/>
                <w:sz w:val="19"/>
              </w:rPr>
              <w:t>关于规范上市公司国有股东发行可交换公司债券及国有控股上市公司发行证券有关事项的通知</w:t>
            </w:r>
          </w:p>
        </w:tc>
        <w:tc>
          <w:tcPr>
            <w:tcW w:type="dxa" w:w="2494"/>
          </w:tcPr>
          <w:p>
            <w:pPr>
              <w:spacing w:after="40" w:line="288" w:lineRule="auto"/>
            </w:pPr>
            <w:r>
              <w:rPr>
                <w:rFonts w:ascii="宋体" w:hAnsi="宋体" w:eastAsia="宋体"/>
                <w:b w:val="0"/>
                <w:sz w:val="19"/>
              </w:rPr>
              <w:t>国资发产权〔2009〕125 号</w:t>
            </w:r>
          </w:p>
        </w:tc>
        <w:tc>
          <w:tcPr>
            <w:tcW w:type="dxa" w:w="1247"/>
          </w:tcPr>
          <w:p>
            <w:pPr>
              <w:spacing w:after="40" w:line="288" w:lineRule="auto"/>
            </w:pPr>
            <w:r>
              <w:rPr>
                <w:rFonts w:ascii="宋体" w:hAnsi="宋体" w:eastAsia="宋体"/>
                <w:b/>
                <w:sz w:val="19"/>
              </w:rPr>
              <w:t>废止或失效</w:t>
            </w:r>
          </w:p>
        </w:tc>
      </w:tr>
      <w:tr>
        <w:tc>
          <w:tcPr>
            <w:tcW w:type="dxa" w:w="4876"/>
          </w:tcPr>
          <w:p>
            <w:pPr>
              <w:spacing w:after="40" w:line="288" w:lineRule="auto"/>
            </w:pPr>
            <w:r>
              <w:rPr>
                <w:rFonts w:ascii="宋体" w:hAnsi="宋体" w:eastAsia="宋体"/>
                <w:b w:val="0"/>
                <w:sz w:val="19"/>
              </w:rPr>
              <w:t>国有股东转让所持上市公司股份管理暂行办法</w:t>
            </w:r>
          </w:p>
        </w:tc>
        <w:tc>
          <w:tcPr>
            <w:tcW w:type="dxa" w:w="2494"/>
          </w:tcPr>
          <w:p>
            <w:pPr>
              <w:spacing w:after="40" w:line="288" w:lineRule="auto"/>
            </w:pPr>
            <w:r>
              <w:rPr>
                <w:rFonts w:ascii="宋体" w:hAnsi="宋体" w:eastAsia="宋体"/>
                <w:b w:val="0"/>
                <w:sz w:val="19"/>
              </w:rPr>
              <w:t>国资委、证监会令第 19 号</w:t>
            </w:r>
          </w:p>
        </w:tc>
        <w:tc>
          <w:tcPr>
            <w:tcW w:type="dxa" w:w="1247"/>
          </w:tcPr>
          <w:p>
            <w:pPr>
              <w:spacing w:after="40" w:line="288" w:lineRule="auto"/>
            </w:pPr>
            <w:r>
              <w:rPr>
                <w:rFonts w:ascii="宋体" w:hAnsi="宋体" w:eastAsia="宋体"/>
                <w:b/>
                <w:sz w:val="19"/>
              </w:rPr>
              <w:t>废止或失效</w:t>
            </w:r>
          </w:p>
        </w:tc>
      </w:tr>
    </w:tbl>
    <w:p>
      <w:pPr>
        <w:spacing w:after="80"/>
      </w:pPr>
    </w:p>
    <w:p>
      <w:pPr>
        <w:spacing w:before="80" w:after="160" w:line="312" w:lineRule="auto"/>
        <w:ind w:left="360"/>
      </w:pPr>
      <w:r>
        <w:rPr>
          <w:rFonts w:ascii="宋体" w:hAnsi="宋体" w:eastAsia="宋体"/>
          <w:b w:val="0"/>
          <w:color w:val="8A5000"/>
          <w:sz w:val="20"/>
        </w:rPr>
        <w:t>流传最广的一组数字——「股东大会召开日前不少于 20 个工作日报国资监管机构审核，国资监管机构在股东大会召开前 5 个工作日出具批复文件」——出自已废止的 124 号文第九条。</w:t>
      </w:r>
      <w:r>
        <w:rPr>
          <w:rFonts w:ascii="宋体" w:hAnsi="宋体" w:eastAsia="宋体"/>
          <w:b/>
          <w:color w:val="8A5000"/>
          <w:sz w:val="20"/>
        </w:rPr>
        <w:t>36 号令没有承继这两个时限。</w:t>
      </w:r>
      <w:r>
        <w:rPr>
          <w:rFonts w:ascii="宋体" w:hAnsi="宋体" w:eastAsia="宋体"/>
          <w:b w:val="0"/>
          <w:color w:val="8A5000"/>
          <w:sz w:val="20"/>
        </w:rPr>
        <w:t>现行中央层面只有两个锚点：资产重组的「董事会审议前」预审核（第 66 条），以及「股东大会召开前」取得批准（第 63、67 条）。按 20／5 个工作日倒排期，依据的是一份已经废止的文件。</w:t>
      </w:r>
    </w:p>
    <w:p>
      <w:pPr>
        <w:ind w:firstLine="440"/>
      </w:pPr>
      <w:r>
        <w:rPr>
          <w:rFonts w:ascii="宋体" w:hAnsi="宋体" w:eastAsia="宋体"/>
          <w:b w:val="0"/>
          <w:sz w:val="22"/>
        </w:rPr>
        <w:t>一个佐证：江苏省国资委 2023 年 5 月印发的《关于修改部分规范性文件的通知》，专门把本省文件里对 19 号令和 125 号文的援引</w:t>
      </w:r>
      <w:r>
        <w:rPr>
          <w:rFonts w:ascii="宋体" w:hAnsi="宋体" w:eastAsia="宋体"/>
          <w:b/>
          <w:sz w:val="22"/>
        </w:rPr>
        <w:t>统一修改为援引 36 号令</w:t>
      </w:r>
      <w:r>
        <w:rPr>
          <w:rFonts w:ascii="宋体" w:hAnsi="宋体" w:eastAsia="宋体"/>
          <w:b w:val="0"/>
          <w:sz w:val="22"/>
        </w:rPr>
        <w:t>。</w:t>
      </w:r>
    </w:p>
    <w:p>
      <w:pPr>
        <w:spacing w:before="80" w:after="160" w:line="312" w:lineRule="auto"/>
        <w:ind w:left="360"/>
      </w:pPr>
      <w:r>
        <w:rPr>
          <w:rFonts w:ascii="宋体" w:hAnsi="宋体" w:eastAsia="宋体"/>
          <w:b w:val="0"/>
          <w:color w:val="8A5000"/>
          <w:sz w:val="20"/>
        </w:rPr>
        <w:t>需要如实说明：不少省级国资委当年</w:t>
      </w:r>
      <w:r>
        <w:rPr>
          <w:rFonts w:ascii="宋体" w:hAnsi="宋体" w:eastAsia="宋体"/>
          <w:b/>
          <w:color w:val="8A5000"/>
          <w:sz w:val="20"/>
        </w:rPr>
        <w:t>转发</w:t>
      </w:r>
      <w:r>
        <w:rPr>
          <w:rFonts w:ascii="宋体" w:hAnsi="宋体" w:eastAsia="宋体"/>
          <w:b w:val="0"/>
          <w:color w:val="8A5000"/>
          <w:sz w:val="20"/>
        </w:rPr>
        <w:t xml:space="preserve"> 123／124／125 号文的地方文件，在法规库中</w:t>
      </w:r>
      <w:r>
        <w:rPr>
          <w:rFonts w:ascii="宋体" w:hAnsi="宋体" w:eastAsia="宋体"/>
          <w:b/>
          <w:color w:val="8A5000"/>
          <w:sz w:val="20"/>
        </w:rPr>
        <w:t>仍标注为现行有效</w:t>
      </w:r>
      <w:r>
        <w:rPr>
          <w:rFonts w:ascii="宋体" w:hAnsi="宋体" w:eastAsia="宋体"/>
          <w:b w:val="0"/>
          <w:color w:val="8A5000"/>
          <w:sz w:val="20"/>
        </w:rPr>
        <w:t>，形成「地方转发件有效、被转发的中央文件已废止」的状态。这类文件在多大范围内仍被实际执行、当地是否另有清理，本备忘录没有检索到统一答案，建议以项目对应国资监管机构的现行口径为准。</w:t>
      </w:r>
    </w:p>
    <w:p>
      <w:pPr>
        <w:spacing w:before="220" w:after="100"/>
      </w:pPr>
      <w:r>
        <w:rPr>
          <w:rFonts w:ascii="黑体" w:hAnsi="黑体" w:eastAsia="黑体"/>
          <w:b/>
          <w:sz w:val="25"/>
        </w:rPr>
        <w:t>五、叠加场景：发股购买资产＋配套融资</w:t>
      </w:r>
    </w:p>
    <w:p>
      <w:pPr>
        <w:pStyle w:val="ListBullet"/>
        <w:spacing w:line="324" w:lineRule="auto" w:after="60"/>
        <w:ind w:left="440"/>
      </w:pPr>
      <w:r>
        <w:rPr>
          <w:rFonts w:ascii="宋体" w:hAnsi="宋体" w:eastAsia="宋体"/>
          <w:b/>
          <w:sz w:val="21"/>
        </w:rPr>
        <w:t>购买资产部分</w:t>
      </w:r>
      <w:r>
        <w:rPr>
          <w:rFonts w:ascii="宋体" w:hAnsi="宋体" w:eastAsia="宋体"/>
          <w:b w:val="0"/>
          <w:sz w:val="21"/>
        </w:rPr>
        <w:t>落入第 65 条定义 → 适用第 66 条，</w:t>
      </w:r>
      <w:r>
        <w:rPr>
          <w:rFonts w:ascii="宋体" w:hAnsi="宋体" w:eastAsia="宋体"/>
          <w:b/>
          <w:sz w:val="21"/>
        </w:rPr>
        <w:t>董事会审议前必须完成预审核</w:t>
      </w:r>
      <w:r>
        <w:rPr>
          <w:rFonts w:ascii="宋体" w:hAnsi="宋体" w:eastAsia="宋体"/>
          <w:b w:val="0"/>
          <w:sz w:val="21"/>
        </w:rPr>
        <w:t>，且第 68 条要求评估备案或核准文件；</w:t>
      </w:r>
    </w:p>
    <w:p>
      <w:pPr>
        <w:pStyle w:val="ListBullet"/>
        <w:spacing w:line="324" w:lineRule="auto" w:after="60"/>
        <w:ind w:left="440"/>
      </w:pPr>
      <w:r>
        <w:rPr>
          <w:rFonts w:ascii="宋体" w:hAnsi="宋体" w:eastAsia="宋体"/>
          <w:b/>
          <w:sz w:val="21"/>
        </w:rPr>
        <w:t>配套融资部分</w:t>
      </w:r>
      <w:r>
        <w:rPr>
          <w:rFonts w:ascii="宋体" w:hAnsi="宋体" w:eastAsia="宋体"/>
          <w:b w:val="0"/>
          <w:sz w:val="21"/>
        </w:rPr>
        <w:t>属第 62 条的发行证券 → 适用第 63、64 条，锚点在股东大会前。</w:t>
      </w:r>
    </w:p>
    <w:p>
      <w:pPr>
        <w:ind w:firstLine="440"/>
      </w:pPr>
      <w:r>
        <w:rPr>
          <w:rFonts w:ascii="宋体" w:hAnsi="宋体" w:eastAsia="宋体"/>
          <w:b w:val="0"/>
          <w:sz w:val="22"/>
        </w:rPr>
        <w:t>两条线中</w:t>
      </w:r>
      <w:r>
        <w:rPr>
          <w:rFonts w:ascii="宋体" w:hAnsi="宋体" w:eastAsia="宋体"/>
          <w:b/>
          <w:sz w:val="22"/>
        </w:rPr>
        <w:t>时点更早、要求更严的那条决定整个项目的节奏</w:t>
      </w:r>
      <w:r>
        <w:rPr>
          <w:rFonts w:ascii="宋体" w:hAnsi="宋体" w:eastAsia="宋体"/>
          <w:b w:val="0"/>
          <w:sz w:val="22"/>
        </w:rPr>
        <w:t>。把这类交易简单按「定增」排期，会漏掉董事会前的预审核环节。</w:t>
      </w:r>
    </w:p>
    <w:p>
      <w:pPr>
        <w:spacing w:before="220" w:after="100"/>
      </w:pPr>
      <w:r>
        <w:rPr>
          <w:rFonts w:ascii="黑体" w:hAnsi="黑体" w:eastAsia="黑体"/>
          <w:b/>
          <w:sz w:val="25"/>
        </w:rPr>
        <w:t>六、如果国有股东自己也参与认购</w:t>
      </w:r>
    </w:p>
    <w:p>
      <w:pPr>
        <w:ind w:firstLine="440"/>
      </w:pPr>
      <w:r>
        <w:rPr>
          <w:rFonts w:ascii="宋体" w:hAnsi="宋体" w:eastAsia="宋体"/>
          <w:b w:val="0"/>
          <w:sz w:val="22"/>
        </w:rPr>
        <w:t>控股股东为维持持股比例而参与认购，在 36 号令下不是「发行」问题而是「受让」问题。第五十三条明确，国有股东受让上市公司股份行为</w:t>
      </w:r>
      <w:r>
        <w:rPr>
          <w:rFonts w:ascii="宋体" w:hAnsi="宋体" w:eastAsia="宋体"/>
          <w:b/>
          <w:sz w:val="22"/>
        </w:rPr>
        <w:t>包括认购上市公司发行股票</w:t>
      </w:r>
      <w:r>
        <w:rPr>
          <w:rFonts w:ascii="宋体" w:hAnsi="宋体" w:eastAsia="宋体"/>
          <w:b w:val="0"/>
          <w:sz w:val="22"/>
        </w:rPr>
        <w:t>。审批主体按第五十四条分流：属第七条情形的（未导致控股权转移）由国家出资企业审核批准，其他情形由国资监管机构审核批准。</w:t>
      </w:r>
    </w:p>
    <w:p>
      <w:pPr>
        <w:ind w:firstLine="440"/>
      </w:pPr>
      <w:r>
        <w:rPr>
          <w:rFonts w:ascii="宋体" w:hAnsi="宋体" w:eastAsia="宋体"/>
          <w:b w:val="0"/>
          <w:sz w:val="22"/>
        </w:rPr>
        <w:t>报送文件见第五十五条共七项，其中两项值得注意：第（二）项要求方案载明</w:t>
      </w:r>
      <w:r>
        <w:rPr>
          <w:rFonts w:ascii="宋体" w:hAnsi="宋体" w:eastAsia="宋体"/>
          <w:b/>
          <w:sz w:val="22"/>
        </w:rPr>
        <w:t>「价格上限及确定依据」</w:t>
      </w:r>
      <w:r>
        <w:rPr>
          <w:rFonts w:ascii="宋体" w:hAnsi="宋体" w:eastAsia="宋体"/>
          <w:b w:val="0"/>
          <w:sz w:val="22"/>
        </w:rPr>
        <w:t>；第（五）项要求财务顾问尽职调查报告和上市公司估值报告，但条文限定</w:t>
      </w:r>
      <w:r>
        <w:rPr>
          <w:rFonts w:ascii="宋体" w:hAnsi="宋体" w:eastAsia="宋体"/>
          <w:b/>
          <w:sz w:val="22"/>
        </w:rPr>
        <w:t>「适用于取得控股权的」</w:t>
      </w:r>
      <w:r>
        <w:rPr>
          <w:rFonts w:ascii="宋体" w:hAnsi="宋体" w:eastAsia="宋体"/>
          <w:b w:val="0"/>
          <w:sz w:val="22"/>
        </w:rPr>
        <w:t>。</w:t>
      </w:r>
    </w:p>
    <w:p>
      <w:pPr>
        <w:spacing w:before="80" w:after="160" w:line="312" w:lineRule="auto"/>
        <w:ind w:left="360"/>
      </w:pPr>
      <w:r>
        <w:rPr>
          <w:rFonts w:ascii="宋体" w:hAnsi="宋体" w:eastAsia="宋体"/>
          <w:b w:val="0"/>
          <w:color w:val="8A5000"/>
          <w:sz w:val="20"/>
        </w:rPr>
        <w:t>容易被忽略的连锁反应：控股股东参与认购通常使其成为关联方，在股东大会审议该发行议案时</w:t>
      </w:r>
      <w:r>
        <w:rPr>
          <w:rFonts w:ascii="宋体" w:hAnsi="宋体" w:eastAsia="宋体"/>
          <w:b/>
          <w:color w:val="8A5000"/>
          <w:sz w:val="20"/>
        </w:rPr>
        <w:t>需要回避表决</w:t>
      </w:r>
      <w:r>
        <w:rPr>
          <w:rFonts w:ascii="宋体" w:hAnsi="宋体" w:eastAsia="宋体"/>
          <w:b w:val="0"/>
          <w:color w:val="8A5000"/>
          <w:sz w:val="20"/>
        </w:rPr>
        <w:t>，可能出现「国资批下来了，却因关联股东回避后中小股东未通过而失败」的局面。建议把股东大会表决可行性测算与国资报批同步进行。</w:t>
      </w:r>
    </w:p>
    <w:p>
      <w:pPr>
        <w:spacing w:before="320" w:after="160"/>
      </w:pPr>
      <w:r>
        <w:rPr>
          <w:rFonts w:ascii="黑体" w:hAnsi="黑体" w:eastAsia="黑体"/>
          <w:b/>
          <w:sz w:val="30"/>
        </w:rPr>
        <w:t>第三部分　地方国资不是照抄央企</w:t>
      </w:r>
    </w:p>
    <w:p>
      <w:pPr>
        <w:spacing w:before="220" w:after="100"/>
      </w:pPr>
      <w:r>
        <w:rPr>
          <w:rFonts w:ascii="黑体" w:hAnsi="黑体" w:eastAsia="黑体"/>
          <w:b/>
          <w:sz w:val="25"/>
        </w:rPr>
        <w:t>一、先确定谁是你这一笔的国资监管机构</w:t>
      </w:r>
    </w:p>
    <w:p>
      <w:pPr>
        <w:spacing w:before="120" w:after="120" w:line="324" w:lineRule="auto"/>
        <w:ind w:left="560" w:right="280"/>
      </w:pPr>
      <w:r>
        <w:rPr>
          <w:rFonts w:ascii="楷体" w:hAnsi="楷体" w:eastAsia="楷体"/>
          <w:b w:val="0"/>
          <w:sz w:val="21"/>
        </w:rPr>
        <w:t>上市公司国有股权变动的监督管理</w:t>
      </w:r>
      <w:r>
        <w:rPr>
          <w:rFonts w:ascii="楷体" w:hAnsi="楷体" w:eastAsia="楷体"/>
          <w:b/>
          <w:sz w:val="21"/>
        </w:rPr>
        <w:t>由省级以上国有资产监督管理机构负责</w:t>
      </w:r>
      <w:r>
        <w:rPr>
          <w:rFonts w:ascii="楷体" w:hAnsi="楷体" w:eastAsia="楷体"/>
          <w:b w:val="0"/>
          <w:sz w:val="21"/>
        </w:rPr>
        <w:t>。省级国有资产监督管理机构</w:t>
      </w:r>
      <w:r>
        <w:rPr>
          <w:rFonts w:ascii="楷体" w:hAnsi="楷体" w:eastAsia="楷体"/>
          <w:b/>
          <w:sz w:val="21"/>
        </w:rPr>
        <w:t>报经省级人民政府同意，可以将地市级以下</w:t>
      </w:r>
      <w:r>
        <w:rPr>
          <w:rFonts w:ascii="楷体" w:hAnsi="楷体" w:eastAsia="楷体"/>
          <w:b w:val="0"/>
          <w:sz w:val="21"/>
        </w:rPr>
        <w:t>有关上市公司国有股权变动的监督管理</w:t>
      </w:r>
      <w:r>
        <w:rPr>
          <w:rFonts w:ascii="楷体" w:hAnsi="楷体" w:eastAsia="楷体"/>
          <w:b/>
          <w:sz w:val="21"/>
        </w:rPr>
        <w:t>交由地市级国有资产监督管理机构负责</w:t>
      </w:r>
      <w:r>
        <w:rPr>
          <w:rFonts w:ascii="楷体" w:hAnsi="楷体" w:eastAsia="楷体"/>
          <w:b w:val="0"/>
          <w:sz w:val="21"/>
        </w:rPr>
        <w:t>。</w:t>
      </w:r>
    </w:p>
    <w:p>
      <w:pPr>
        <w:spacing w:after="160"/>
        <w:ind w:left="560"/>
      </w:pPr>
      <w:r>
        <w:rPr>
          <w:rFonts w:ascii="楷体" w:hAnsi="楷体" w:eastAsia="楷体"/>
          <w:b w:val="0"/>
          <w:color w:val="777777"/>
          <w:sz w:val="18"/>
        </w:rPr>
        <w:t>—— 36 号令第六条第一款</w:t>
      </w:r>
    </w:p>
    <w:p>
      <w:pPr>
        <w:pStyle w:val="ListBullet"/>
        <w:spacing w:line="324" w:lineRule="auto" w:after="60"/>
        <w:ind w:left="440"/>
      </w:pPr>
      <w:r>
        <w:rPr>
          <w:rFonts w:ascii="宋体" w:hAnsi="宋体" w:eastAsia="宋体"/>
          <w:b/>
          <w:sz w:val="21"/>
        </w:rPr>
        <w:t>默认在省级。</w:t>
      </w:r>
      <w:r>
        <w:rPr>
          <w:rFonts w:ascii="宋体" w:hAnsi="宋体" w:eastAsia="宋体"/>
          <w:b w:val="0"/>
          <w:sz w:val="21"/>
        </w:rPr>
        <w:t>不是「属地国资委」，市属国有控股上市公司默认仍由省国资委监管。</w:t>
      </w:r>
    </w:p>
    <w:p>
      <w:pPr>
        <w:pStyle w:val="ListBullet"/>
        <w:spacing w:line="324" w:lineRule="auto" w:after="60"/>
        <w:ind w:left="440"/>
      </w:pPr>
      <w:r>
        <w:rPr>
          <w:rFonts w:ascii="宋体" w:hAnsi="宋体" w:eastAsia="宋体"/>
          <w:b/>
          <w:sz w:val="21"/>
        </w:rPr>
        <w:t>下放是有条件的例外</w:t>
      </w:r>
      <w:r>
        <w:rPr>
          <w:rFonts w:ascii="宋体" w:hAnsi="宋体" w:eastAsia="宋体"/>
          <w:b w:val="0"/>
          <w:sz w:val="21"/>
        </w:rPr>
        <w:t>，需省国资委报经省级人民政府同意且限于地市级以下。例如四川省国资委曾专门发文下放本省市（州）级以下上市公司国有股权变动监督管理权限。</w:t>
      </w:r>
    </w:p>
    <w:p>
      <w:pPr>
        <w:spacing w:before="80" w:after="160" w:line="312" w:lineRule="auto"/>
        <w:ind w:left="360"/>
      </w:pPr>
      <w:r>
        <w:rPr>
          <w:rFonts w:ascii="宋体" w:hAnsi="宋体" w:eastAsia="宋体"/>
          <w:b w:val="0"/>
          <w:color w:val="8A5000"/>
          <w:sz w:val="20"/>
        </w:rPr>
        <w:t>报错层级是很实在的风险：误把应报省国资委的事项报给市国资委，取得的批复在效力上存在瑕疵。项目启动第一件事，是书面确认本省是否已下放、本次交易是否落在下放范围内。</w:t>
      </w:r>
    </w:p>
    <w:p>
      <w:pPr>
        <w:spacing w:before="220" w:after="100"/>
      </w:pPr>
      <w:r>
        <w:rPr>
          <w:rFonts w:ascii="黑体" w:hAnsi="黑体" w:eastAsia="黑体"/>
          <w:b/>
          <w:sz w:val="25"/>
        </w:rPr>
        <w:t>二、「合理持股比例」：同一个名词，各地强度不同</w:t>
      </w:r>
    </w:p>
    <w:tbl>
      <w:tblPr>
        <w:tblStyle w:val="TableGrid"/>
        <w:tblW w:type="auto" w:w="0"/>
        <w:jc w:val="center"/>
        <w:tblLook w:firstColumn="1" w:firstRow="1" w:lastColumn="0" w:lastRow="0" w:noHBand="0" w:noVBand="1" w:val="04A0"/>
      </w:tblPr>
      <w:tblGrid>
        <w:gridCol w:w="3097"/>
        <w:gridCol w:w="3097"/>
        <w:gridCol w:w="3097"/>
      </w:tblGrid>
      <w:tr>
        <w:tc>
          <w:tcPr>
            <w:tcW w:type="dxa" w:w="1474"/>
            <w:shd w:fill="EEF2F7"/>
          </w:tcPr>
          <w:p>
            <w:pPr>
              <w:jc w:val="center"/>
            </w:pPr>
            <w:r>
              <w:rPr>
                <w:rFonts w:ascii="黑体" w:hAnsi="黑体" w:eastAsia="黑体"/>
                <w:b/>
                <w:sz w:val="20"/>
              </w:rPr>
              <w:t>地方</w:t>
            </w:r>
          </w:p>
        </w:tc>
        <w:tc>
          <w:tcPr>
            <w:tcW w:type="dxa" w:w="1814"/>
            <w:shd w:fill="EEF2F7"/>
          </w:tcPr>
          <w:p>
            <w:pPr>
              <w:jc w:val="center"/>
            </w:pPr>
            <w:r>
              <w:rPr>
                <w:rFonts w:ascii="黑体" w:hAnsi="黑体" w:eastAsia="黑体"/>
                <w:b/>
                <w:sz w:val="20"/>
              </w:rPr>
              <w:t>名称</w:t>
            </w:r>
          </w:p>
        </w:tc>
        <w:tc>
          <w:tcPr>
            <w:tcW w:type="dxa" w:w="5329"/>
            <w:shd w:fill="EEF2F7"/>
          </w:tcPr>
          <w:p>
            <w:pPr>
              <w:jc w:val="center"/>
            </w:pPr>
            <w:r>
              <w:rPr>
                <w:rFonts w:ascii="黑体" w:hAnsi="黑体" w:eastAsia="黑体"/>
                <w:b/>
                <w:sz w:val="20"/>
              </w:rPr>
              <w:t>程序强度</w:t>
            </w:r>
          </w:p>
        </w:tc>
      </w:tr>
      <w:tr>
        <w:tc>
          <w:tcPr>
            <w:tcW w:type="dxa" w:w="1474"/>
          </w:tcPr>
          <w:p>
            <w:pPr>
              <w:spacing w:after="40" w:line="288" w:lineRule="auto"/>
            </w:pPr>
            <w:r>
              <w:rPr>
                <w:rFonts w:ascii="宋体" w:hAnsi="宋体" w:eastAsia="宋体"/>
                <w:b w:val="0"/>
                <w:sz w:val="19"/>
              </w:rPr>
              <w:t>上海</w:t>
            </w:r>
          </w:p>
        </w:tc>
        <w:tc>
          <w:tcPr>
            <w:tcW w:type="dxa" w:w="1814"/>
          </w:tcPr>
          <w:p>
            <w:pPr>
              <w:spacing w:after="40" w:line="288" w:lineRule="auto"/>
            </w:pPr>
            <w:r>
              <w:rPr>
                <w:rFonts w:ascii="宋体" w:hAnsi="宋体" w:eastAsia="宋体"/>
                <w:b w:val="0"/>
                <w:sz w:val="19"/>
              </w:rPr>
              <w:t>最低持股比例</w:t>
            </w:r>
          </w:p>
        </w:tc>
        <w:tc>
          <w:tcPr>
            <w:tcW w:type="dxa" w:w="5329"/>
          </w:tcPr>
          <w:p>
            <w:pPr>
              <w:spacing w:after="40" w:line="288" w:lineRule="auto"/>
            </w:pPr>
            <w:r>
              <w:rPr>
                <w:rFonts w:ascii="宋体" w:hAnsi="宋体" w:eastAsia="宋体"/>
                <w:b w:val="0"/>
                <w:sz w:val="19"/>
              </w:rPr>
              <w:t>由国有控股股东确定后</w:t>
            </w:r>
            <w:r>
              <w:rPr>
                <w:rFonts w:ascii="宋体" w:hAnsi="宋体" w:eastAsia="宋体"/>
                <w:b/>
                <w:sz w:val="19"/>
              </w:rPr>
              <w:t>逐级上报市国资委核准</w:t>
            </w:r>
            <w:r>
              <w:rPr>
                <w:rFonts w:ascii="宋体" w:hAnsi="宋体" w:eastAsia="宋体"/>
                <w:b w:val="0"/>
                <w:sz w:val="19"/>
              </w:rPr>
              <w:t>；原则上一年调整一次（每年 3 月 31 日前报核准），另设临时调整；市国资委可统筹调整</w:t>
            </w:r>
          </w:p>
        </w:tc>
      </w:tr>
      <w:tr>
        <w:tc>
          <w:tcPr>
            <w:tcW w:type="dxa" w:w="1474"/>
          </w:tcPr>
          <w:p>
            <w:pPr>
              <w:spacing w:after="40" w:line="288" w:lineRule="auto"/>
            </w:pPr>
            <w:r>
              <w:rPr>
                <w:rFonts w:ascii="宋体" w:hAnsi="宋体" w:eastAsia="宋体"/>
                <w:b w:val="0"/>
                <w:sz w:val="19"/>
              </w:rPr>
              <w:t>成都</w:t>
            </w:r>
          </w:p>
        </w:tc>
        <w:tc>
          <w:tcPr>
            <w:tcW w:type="dxa" w:w="1814"/>
          </w:tcPr>
          <w:p>
            <w:pPr>
              <w:spacing w:after="40" w:line="288" w:lineRule="auto"/>
            </w:pPr>
            <w:r>
              <w:rPr>
                <w:rFonts w:ascii="宋体" w:hAnsi="宋体" w:eastAsia="宋体"/>
                <w:b w:val="0"/>
                <w:sz w:val="19"/>
              </w:rPr>
              <w:t>合理持股比例</w:t>
            </w:r>
          </w:p>
        </w:tc>
        <w:tc>
          <w:tcPr>
            <w:tcW w:type="dxa" w:w="5329"/>
          </w:tcPr>
          <w:p>
            <w:pPr>
              <w:spacing w:after="40" w:line="288" w:lineRule="auto"/>
            </w:pPr>
            <w:r>
              <w:rPr>
                <w:rFonts w:ascii="宋体" w:hAnsi="宋体" w:eastAsia="宋体"/>
                <w:b w:val="0"/>
                <w:sz w:val="19"/>
              </w:rPr>
              <w:t>由国家出资企业研究确定，履行必要内部决策程序后</w:t>
            </w:r>
            <w:r>
              <w:rPr>
                <w:rFonts w:ascii="宋体" w:hAnsi="宋体" w:eastAsia="宋体"/>
                <w:b/>
                <w:sz w:val="19"/>
              </w:rPr>
              <w:t>逐级报省国资委备案</w:t>
            </w:r>
          </w:p>
        </w:tc>
      </w:tr>
      <w:tr>
        <w:tc>
          <w:tcPr>
            <w:tcW w:type="dxa" w:w="1474"/>
          </w:tcPr>
          <w:p>
            <w:pPr>
              <w:spacing w:after="40" w:line="288" w:lineRule="auto"/>
            </w:pPr>
            <w:r>
              <w:rPr>
                <w:rFonts w:ascii="宋体" w:hAnsi="宋体" w:eastAsia="宋体"/>
                <w:b w:val="0"/>
                <w:sz w:val="19"/>
              </w:rPr>
              <w:t>江苏（省属）</w:t>
            </w:r>
          </w:p>
        </w:tc>
        <w:tc>
          <w:tcPr>
            <w:tcW w:type="dxa" w:w="1814"/>
          </w:tcPr>
          <w:p>
            <w:pPr>
              <w:spacing w:after="40" w:line="288" w:lineRule="auto"/>
            </w:pPr>
            <w:r>
              <w:rPr>
                <w:rFonts w:ascii="宋体" w:hAnsi="宋体" w:eastAsia="宋体"/>
                <w:b w:val="0"/>
                <w:sz w:val="19"/>
              </w:rPr>
              <w:t>最低持股比例</w:t>
            </w:r>
          </w:p>
        </w:tc>
        <w:tc>
          <w:tcPr>
            <w:tcW w:type="dxa" w:w="5329"/>
          </w:tcPr>
          <w:p>
            <w:pPr>
              <w:spacing w:after="40" w:line="288" w:lineRule="auto"/>
            </w:pPr>
            <w:r>
              <w:rPr>
                <w:rFonts w:ascii="宋体" w:hAnsi="宋体" w:eastAsia="宋体"/>
                <w:b w:val="0"/>
                <w:sz w:val="19"/>
              </w:rPr>
              <w:t>由战略股东结合股权结构、市值、行业地位等确定，经省属企业董事会审议决策并</w:t>
            </w:r>
            <w:r>
              <w:rPr>
                <w:rFonts w:ascii="宋体" w:hAnsi="宋体" w:eastAsia="宋体"/>
                <w:b/>
                <w:sz w:val="19"/>
              </w:rPr>
              <w:t>报经省国资委同意</w:t>
            </w:r>
            <w:r>
              <w:rPr>
                <w:rFonts w:ascii="宋体" w:hAnsi="宋体" w:eastAsia="宋体"/>
                <w:b w:val="0"/>
                <w:sz w:val="19"/>
              </w:rPr>
              <w:t>后确定；战略股东超过 1 名的由省国资委召集研究确定</w:t>
            </w:r>
          </w:p>
        </w:tc>
      </w:tr>
    </w:tbl>
    <w:p>
      <w:pPr>
        <w:spacing w:after="80"/>
      </w:pPr>
    </w:p>
    <w:p>
      <w:pPr>
        <w:ind w:firstLine="440"/>
      </w:pPr>
      <w:r>
        <w:rPr>
          <w:rFonts w:ascii="宋体" w:hAnsi="宋体" w:eastAsia="宋体"/>
          <w:b/>
          <w:sz w:val="22"/>
        </w:rPr>
        <w:t>「备案」「核准」「同意」是三种不同强度的程序</w:t>
      </w:r>
      <w:r>
        <w:rPr>
          <w:rFonts w:ascii="宋体" w:hAnsi="宋体" w:eastAsia="宋体"/>
          <w:b w:val="0"/>
          <w:sz w:val="22"/>
        </w:rPr>
        <w:t>，不能混用。按备案理解却实际需要核准，会在报批环节卡住；反之则会无谓拉长周期。</w:t>
      </w:r>
    </w:p>
    <w:p>
      <w:pPr>
        <w:spacing w:before="80" w:after="160" w:line="312" w:lineRule="auto"/>
        <w:ind w:left="360"/>
      </w:pPr>
      <w:r>
        <w:rPr>
          <w:rFonts w:ascii="宋体" w:hAnsi="宋体" w:eastAsia="宋体"/>
          <w:b w:val="0"/>
          <w:color w:val="8A5000"/>
          <w:sz w:val="20"/>
        </w:rPr>
        <w:t>另有一类是政策导向性表述。例如陕西曾在一份面向地方国有控股上市公司的专项行动通知中提出：竞争类企业允许保持相对控股地位；持股比例低于 33.4% 的可在不导致控股权转移的前提下合理确定；重要行业和关键领域应切实保持控制力。该文件本身设有行动期限，属阶段性政策文件，引用时应确认其现行状态。</w:t>
      </w:r>
    </w:p>
    <w:p>
      <w:pPr>
        <w:spacing w:before="220" w:after="100"/>
      </w:pPr>
      <w:r>
        <w:rPr>
          <w:rFonts w:ascii="黑体" w:hAnsi="黑体" w:eastAsia="黑体"/>
          <w:b/>
          <w:sz w:val="25"/>
        </w:rPr>
        <w:t>三、地方可能对「发行」本身加码</w:t>
      </w:r>
    </w:p>
    <w:p>
      <w:pPr>
        <w:spacing w:before="120" w:after="120" w:line="324" w:lineRule="auto"/>
        <w:ind w:left="560" w:right="280"/>
      </w:pPr>
      <w:r>
        <w:rPr>
          <w:rFonts w:ascii="楷体" w:hAnsi="楷体" w:eastAsia="楷体"/>
          <w:b w:val="0"/>
          <w:sz w:val="21"/>
        </w:rPr>
        <w:t>省属上市公司发行股份，包括采用公开方式向原股东配售股份、向不特定对象公开募集股份，采用非公开方式向特定对象发行股份等，</w:t>
      </w:r>
      <w:r>
        <w:rPr>
          <w:rFonts w:ascii="楷体" w:hAnsi="楷体" w:eastAsia="楷体"/>
          <w:b/>
          <w:sz w:val="21"/>
        </w:rPr>
        <w:t>各战略股东及其子企业应按其持股比例参与，确保战略股东及其子企业持股比例不降低</w:t>
      </w:r>
      <w:r>
        <w:rPr>
          <w:rFonts w:ascii="楷体" w:hAnsi="楷体" w:eastAsia="楷体"/>
          <w:b w:val="0"/>
          <w:sz w:val="21"/>
        </w:rPr>
        <w:t>；战略股东</w:t>
      </w:r>
      <w:r>
        <w:rPr>
          <w:rFonts w:ascii="楷体" w:hAnsi="楷体" w:eastAsia="楷体"/>
          <w:b/>
          <w:sz w:val="21"/>
        </w:rPr>
        <w:t>如不参与应事先书面报经省国资委同意</w:t>
      </w:r>
      <w:r>
        <w:rPr>
          <w:rFonts w:ascii="楷体" w:hAnsi="楷体" w:eastAsia="楷体"/>
          <w:b w:val="0"/>
          <w:sz w:val="21"/>
        </w:rPr>
        <w:t>。</w:t>
      </w:r>
    </w:p>
    <w:p>
      <w:pPr>
        <w:spacing w:after="160"/>
        <w:ind w:left="560"/>
      </w:pPr>
      <w:r>
        <w:rPr>
          <w:rFonts w:ascii="楷体" w:hAnsi="楷体" w:eastAsia="楷体"/>
          <w:b w:val="0"/>
          <w:color w:val="777777"/>
          <w:sz w:val="18"/>
        </w:rPr>
        <w:t>—— 江苏省国资委《省属国有控股上市公司战略股东管理暂行办法》第六条</w:t>
      </w:r>
    </w:p>
    <w:p>
      <w:pPr>
        <w:ind w:firstLine="440"/>
      </w:pPr>
      <w:r>
        <w:rPr>
          <w:rFonts w:ascii="宋体" w:hAnsi="宋体" w:eastAsia="宋体"/>
          <w:b w:val="0"/>
          <w:sz w:val="22"/>
        </w:rPr>
        <w:t>这条把「要不要跟投」从商业选择变成了</w:t>
      </w:r>
      <w:r>
        <w:rPr>
          <w:rFonts w:ascii="宋体" w:hAnsi="宋体" w:eastAsia="宋体"/>
          <w:b/>
          <w:sz w:val="22"/>
        </w:rPr>
        <w:t>需要事先书面报批的合规事项</w:t>
      </w:r>
      <w:r>
        <w:rPr>
          <w:rFonts w:ascii="宋体" w:hAnsi="宋体" w:eastAsia="宋体"/>
          <w:b w:val="0"/>
          <w:sz w:val="22"/>
        </w:rPr>
        <w:t>。同一文件还要求：发行可转换公司债券的，战略股东委派的董事在董事会表决前，相关战略股东应</w:t>
      </w:r>
      <w:r>
        <w:rPr>
          <w:rFonts w:ascii="宋体" w:hAnsi="宋体" w:eastAsia="宋体"/>
          <w:b/>
          <w:sz w:val="22"/>
        </w:rPr>
        <w:t>事先书面征求省国资委意见</w:t>
      </w:r>
      <w:r>
        <w:rPr>
          <w:rFonts w:ascii="宋体" w:hAnsi="宋体" w:eastAsia="宋体"/>
          <w:b w:val="0"/>
          <w:sz w:val="22"/>
        </w:rPr>
        <w:t>。这类规则不会出现在 36 号令里，</w:t>
      </w:r>
      <w:r>
        <w:rPr>
          <w:rFonts w:ascii="宋体" w:hAnsi="宋体" w:eastAsia="宋体"/>
          <w:b/>
          <w:sz w:val="22"/>
        </w:rPr>
        <w:t>只查中央规章不足以确定完整的报批清单</w:t>
      </w:r>
      <w:r>
        <w:rPr>
          <w:rFonts w:ascii="宋体" w:hAnsi="宋体" w:eastAsia="宋体"/>
          <w:b w:val="0"/>
          <w:sz w:val="22"/>
        </w:rPr>
        <w:t>。</w:t>
      </w:r>
    </w:p>
    <w:p>
      <w:pPr>
        <w:spacing w:before="220" w:after="100"/>
      </w:pPr>
      <w:r>
        <w:rPr>
          <w:rFonts w:ascii="黑体" w:hAnsi="黑体" w:eastAsia="黑体"/>
          <w:b/>
          <w:sz w:val="25"/>
        </w:rPr>
        <w:t>四、丧失控股权：要上到人民政府</w:t>
      </w:r>
    </w:p>
    <w:p>
      <w:pPr>
        <w:ind w:firstLine="440"/>
      </w:pPr>
      <w:r>
        <w:rPr>
          <w:rFonts w:ascii="宋体" w:hAnsi="宋体" w:eastAsia="宋体"/>
          <w:b w:val="0"/>
          <w:sz w:val="22"/>
        </w:rPr>
        <w:t>第六条第三款：按照法律、行政法规和本级人民政府有关规定，须经</w:t>
      </w:r>
      <w:r>
        <w:rPr>
          <w:rFonts w:ascii="宋体" w:hAnsi="宋体" w:eastAsia="宋体"/>
          <w:b/>
          <w:sz w:val="22"/>
        </w:rPr>
        <w:t>本级人民政府批准</w:t>
      </w:r>
      <w:r>
        <w:rPr>
          <w:rFonts w:ascii="宋体" w:hAnsi="宋体" w:eastAsia="宋体"/>
          <w:b w:val="0"/>
          <w:sz w:val="22"/>
        </w:rPr>
        <w:t>的上市公司国有股权变动事项，国资监管机构应当履行报批程序。这一款把加重程序的设定权交给了地方。以湖南省为例：</w:t>
      </w:r>
    </w:p>
    <w:p>
      <w:pPr>
        <w:spacing w:before="120" w:after="120" w:line="324" w:lineRule="auto"/>
        <w:ind w:left="560" w:right="280"/>
      </w:pPr>
      <w:r>
        <w:rPr>
          <w:rFonts w:ascii="楷体" w:hAnsi="楷体" w:eastAsia="楷体"/>
          <w:b/>
          <w:sz w:val="21"/>
        </w:rPr>
        <w:t>非公开发行股票</w:t>
      </w:r>
      <w:r>
        <w:rPr>
          <w:rFonts w:ascii="楷体" w:hAnsi="楷体" w:eastAsia="楷体"/>
          <w:b w:val="0"/>
          <w:sz w:val="21"/>
        </w:rPr>
        <w:t>、无偿划转上市公司国有股份</w:t>
      </w:r>
      <w:r>
        <w:rPr>
          <w:rFonts w:ascii="楷体" w:hAnsi="楷体" w:eastAsia="楷体"/>
          <w:b/>
          <w:sz w:val="21"/>
        </w:rPr>
        <w:t>导致不再拥有上市公司控股权</w:t>
      </w:r>
      <w:r>
        <w:rPr>
          <w:rFonts w:ascii="楷体" w:hAnsi="楷体" w:eastAsia="楷体"/>
          <w:b w:val="0"/>
          <w:sz w:val="21"/>
        </w:rPr>
        <w:t>的，国有股东应当在内部决策后，按照规定程序</w:t>
      </w:r>
      <w:r>
        <w:rPr>
          <w:rFonts w:ascii="楷体" w:hAnsi="楷体" w:eastAsia="楷体"/>
          <w:b/>
          <w:sz w:val="21"/>
        </w:rPr>
        <w:t>逐级书面报告省国资委审核，再报省人民政府审批</w:t>
      </w:r>
      <w:r>
        <w:rPr>
          <w:rFonts w:ascii="楷体" w:hAnsi="楷体" w:eastAsia="楷体"/>
          <w:b w:val="0"/>
          <w:sz w:val="21"/>
        </w:rPr>
        <w:t>。</w:t>
      </w:r>
    </w:p>
    <w:p>
      <w:pPr>
        <w:spacing w:after="160"/>
        <w:ind w:left="560"/>
      </w:pPr>
      <w:r>
        <w:rPr>
          <w:rFonts w:ascii="楷体" w:hAnsi="楷体" w:eastAsia="楷体"/>
          <w:b w:val="0"/>
          <w:color w:val="777777"/>
          <w:sz w:val="18"/>
        </w:rPr>
        <w:t>—— 《湖南省人民政府关于省属企业国有资产处置有关事项的通知》（湘政发〔2011〕43 号）第五项</w:t>
      </w:r>
    </w:p>
    <w:p>
      <w:pPr>
        <w:ind w:firstLine="440"/>
      </w:pPr>
      <w:r>
        <w:rPr>
          <w:rFonts w:ascii="宋体" w:hAnsi="宋体" w:eastAsia="宋体"/>
          <w:b w:val="0"/>
          <w:sz w:val="22"/>
        </w:rPr>
        <w:t>同一文件另附两条硬要求：报省人民政府审批的事项</w:t>
      </w:r>
      <w:r>
        <w:rPr>
          <w:rFonts w:ascii="宋体" w:hAnsi="宋体" w:eastAsia="宋体"/>
          <w:b/>
          <w:sz w:val="22"/>
        </w:rPr>
        <w:t>应经省政府常务会议审议决定</w:t>
      </w:r>
      <w:r>
        <w:rPr>
          <w:rFonts w:ascii="宋体" w:hAnsi="宋体" w:eastAsia="宋体"/>
          <w:b w:val="0"/>
          <w:sz w:val="22"/>
        </w:rPr>
        <w:t>；涉及省财政厅履行国有资产监管职能的，企业在报省国资委审核前</w:t>
      </w:r>
      <w:r>
        <w:rPr>
          <w:rFonts w:ascii="宋体" w:hAnsi="宋体" w:eastAsia="宋体"/>
          <w:b/>
          <w:sz w:val="22"/>
        </w:rPr>
        <w:t>需事先征得省财政厅书面同意</w:t>
      </w:r>
      <w:r>
        <w:rPr>
          <w:rFonts w:ascii="宋体" w:hAnsi="宋体" w:eastAsia="宋体"/>
          <w:b w:val="0"/>
          <w:sz w:val="22"/>
        </w:rPr>
        <w:t>。</w:t>
      </w:r>
    </w:p>
    <w:p>
      <w:pPr>
        <w:spacing w:before="80" w:after="160" w:line="312" w:lineRule="auto"/>
        <w:ind w:left="360"/>
      </w:pPr>
      <w:r>
        <w:rPr>
          <w:rFonts w:ascii="宋体" w:hAnsi="宋体" w:eastAsia="宋体"/>
          <w:b w:val="0"/>
          <w:color w:val="8A5000"/>
          <w:sz w:val="20"/>
        </w:rPr>
        <w:t>需如实标注：该通知制发于 2011 年，法规库标注为现行有效，但其援引的上位依据是已被 36 号令取代的 19 号令。就「丧失控股权须报本级人民政府批准」这一实体要求而言，它与 36 号令第六条第三款一致；但具体报批链条应以现行有效文件和主管机关的现行口径再作确认。</w:t>
      </w:r>
    </w:p>
    <w:p>
      <w:pPr>
        <w:spacing w:before="220" w:after="100"/>
      </w:pPr>
      <w:r>
        <w:rPr>
          <w:rFonts w:ascii="黑体" w:hAnsi="黑体" w:eastAsia="黑体"/>
          <w:b/>
          <w:sz w:val="25"/>
        </w:rPr>
        <w:t>五、一个必须如实说明的空白：「董事会前事前报告」</w:t>
      </w:r>
    </w:p>
    <w:p>
      <w:pPr>
        <w:ind w:firstLine="440"/>
      </w:pPr>
      <w:r>
        <w:rPr>
          <w:rFonts w:ascii="宋体" w:hAnsi="宋体" w:eastAsia="宋体"/>
          <w:b w:val="0"/>
          <w:sz w:val="22"/>
        </w:rPr>
        <w:t>检索到一类值得关注但结论并不清晰的制度——地方对上市公司国有股权重大事项设置的</w:t>
      </w:r>
      <w:r>
        <w:rPr>
          <w:rFonts w:ascii="宋体" w:hAnsi="宋体" w:eastAsia="宋体"/>
          <w:b/>
          <w:sz w:val="22"/>
        </w:rPr>
        <w:t>事前报告</w:t>
      </w:r>
      <w:r>
        <w:rPr>
          <w:rFonts w:ascii="宋体" w:hAnsi="宋体" w:eastAsia="宋体"/>
          <w:b w:val="0"/>
          <w:sz w:val="22"/>
        </w:rPr>
        <w:t>要求，且明确把「增发股票」列入其中：</w:t>
      </w:r>
    </w:p>
    <w:p>
      <w:pPr>
        <w:pStyle w:val="ListBullet"/>
        <w:spacing w:line="324" w:lineRule="auto" w:after="60"/>
        <w:ind w:left="440"/>
      </w:pPr>
      <w:r>
        <w:rPr>
          <w:rFonts w:ascii="宋体" w:hAnsi="宋体" w:eastAsia="宋体"/>
          <w:b w:val="0"/>
          <w:sz w:val="21"/>
        </w:rPr>
        <w:t>上海曾规定：国有股持股单位应在</w:t>
      </w:r>
      <w:r>
        <w:rPr>
          <w:rFonts w:ascii="宋体" w:hAnsi="宋体" w:eastAsia="宋体"/>
          <w:b/>
          <w:sz w:val="21"/>
        </w:rPr>
        <w:t>本单位及上市公司董事会召开前五个工作日</w:t>
      </w:r>
      <w:r>
        <w:rPr>
          <w:rFonts w:ascii="宋体" w:hAnsi="宋体" w:eastAsia="宋体"/>
          <w:b w:val="0"/>
          <w:sz w:val="21"/>
        </w:rPr>
        <w:t>，将有关意见、草案报市国有资产管理部门备案，清单含「含国有股上市公司增发股票」；</w:t>
      </w:r>
    </w:p>
    <w:p>
      <w:pPr>
        <w:pStyle w:val="ListBullet"/>
        <w:spacing w:line="324" w:lineRule="auto" w:after="60"/>
        <w:ind w:left="440"/>
      </w:pPr>
      <w:r>
        <w:rPr>
          <w:rFonts w:ascii="宋体" w:hAnsi="宋体" w:eastAsia="宋体"/>
          <w:b w:val="0"/>
          <w:sz w:val="21"/>
        </w:rPr>
        <w:t>河北曾规定：对含「含国有股上市公司增发股票」在内的一批行为，应在</w:t>
      </w:r>
      <w:r>
        <w:rPr>
          <w:rFonts w:ascii="宋体" w:hAnsi="宋体" w:eastAsia="宋体"/>
          <w:b/>
          <w:sz w:val="21"/>
        </w:rPr>
        <w:t>本单位董事会或经理办公会召开前 10 个工作日内</w:t>
      </w:r>
      <w:r>
        <w:rPr>
          <w:rFonts w:ascii="宋体" w:hAnsi="宋体" w:eastAsia="宋体"/>
          <w:b w:val="0"/>
          <w:sz w:val="21"/>
        </w:rPr>
        <w:t>报省国资委备案，且</w:t>
      </w:r>
      <w:r>
        <w:rPr>
          <w:rFonts w:ascii="宋体" w:hAnsi="宋体" w:eastAsia="宋体"/>
          <w:b/>
          <w:sz w:val="21"/>
        </w:rPr>
        <w:t>省国资委将视情况派人列席</w:t>
      </w:r>
      <w:r>
        <w:rPr>
          <w:rFonts w:ascii="宋体" w:hAnsi="宋体" w:eastAsia="宋体"/>
          <w:b w:val="0"/>
          <w:sz w:val="21"/>
        </w:rPr>
        <w:t>该会议。</w:t>
      </w:r>
    </w:p>
    <w:p>
      <w:pPr>
        <w:spacing w:before="80" w:after="160" w:line="312" w:lineRule="auto"/>
        <w:ind w:left="360"/>
      </w:pPr>
      <w:r>
        <w:rPr>
          <w:rFonts w:ascii="宋体" w:hAnsi="宋体" w:eastAsia="宋体"/>
          <w:b w:val="0"/>
          <w:color w:val="8A5000"/>
          <w:sz w:val="20"/>
        </w:rPr>
        <w:t>必须说清楚：上述两份文件年代较早，均早于 2018 年的 36 号令，而 36 号令本身并未设置面向发行证券的普遍性「董事会前事前报告」义务。这类地方老文件目前的效力状态、各地是否已清理或以新文件替代，</w:t>
      </w:r>
      <w:r>
        <w:rPr>
          <w:rFonts w:ascii="宋体" w:hAnsi="宋体" w:eastAsia="宋体"/>
          <w:b/>
          <w:color w:val="8A5000"/>
          <w:sz w:val="20"/>
        </w:rPr>
        <w:t>本备忘录没有检索到统一答案</w:t>
      </w:r>
      <w:r>
        <w:rPr>
          <w:rFonts w:ascii="宋体" w:hAnsi="宋体" w:eastAsia="宋体"/>
          <w:b w:val="0"/>
          <w:color w:val="8A5000"/>
          <w:sz w:val="20"/>
        </w:rPr>
        <w:t>。因此此处不给结论，只提示：地方项目在排定董事会日程前，应就本地是否存在现行有效的事前报告或备案要求，向对应国资监管机构确认。这是可能直接改变董事会排期的变量。</w:t>
      </w:r>
    </w:p>
    <w:p>
      <w:pPr>
        <w:ind w:firstLine="440"/>
      </w:pPr>
      <w:r>
        <w:rPr>
          <w:rFonts w:ascii="宋体" w:hAnsi="宋体" w:eastAsia="宋体"/>
          <w:b w:val="0"/>
          <w:sz w:val="22"/>
        </w:rPr>
        <w:t>反方向的做法也存在：山西曾规定需备案的上市公司国有股份转让在完成后 7 个工作日内报省国资委备案；辽宁曾规定国有单位认购上市公司发行股票等行为在完成后 10 个工作日内报省国资委备案。</w:t>
      </w:r>
      <w:r>
        <w:rPr>
          <w:rFonts w:ascii="宋体" w:hAnsi="宋体" w:eastAsia="宋体"/>
          <w:b/>
          <w:sz w:val="22"/>
        </w:rPr>
        <w:t>事前报告与事后备案在时间安排上完全相反，落地前必须分清本地属于哪一种。</w:t>
      </w:r>
    </w:p>
    <w:p>
      <w:pPr>
        <w:spacing w:before="220" w:after="100"/>
      </w:pPr>
      <w:r>
        <w:rPr>
          <w:rFonts w:ascii="黑体" w:hAnsi="黑体" w:eastAsia="黑体"/>
          <w:b/>
          <w:sz w:val="25"/>
        </w:rPr>
        <w:t>六、地方项目自查清单</w:t>
      </w:r>
    </w:p>
    <w:p>
      <w:pPr>
        <w:pStyle w:val="ListBullet"/>
        <w:spacing w:line="324" w:lineRule="auto" w:after="60"/>
        <w:ind w:left="440"/>
      </w:pPr>
      <w:r>
        <w:rPr>
          <w:rFonts w:ascii="宋体" w:hAnsi="宋体" w:eastAsia="宋体"/>
          <w:b w:val="0"/>
          <w:sz w:val="21"/>
        </w:rPr>
        <w:t>本省是否已将地市级以下监管权限下放？本次交易落在哪一级？（第六条）</w:t>
      </w:r>
    </w:p>
    <w:p>
      <w:pPr>
        <w:pStyle w:val="ListBullet"/>
        <w:spacing w:line="324" w:lineRule="auto" w:after="60"/>
        <w:ind w:left="440"/>
      </w:pPr>
      <w:r>
        <w:rPr>
          <w:rFonts w:ascii="宋体" w:hAnsi="宋体" w:eastAsia="宋体"/>
          <w:b w:val="0"/>
          <w:sz w:val="21"/>
        </w:rPr>
        <w:t>本省确定「合理持股比例／最低持股比例」的具体办法是什么？是备案、核准还是同意？（第八条）</w:t>
      </w:r>
    </w:p>
    <w:p>
      <w:pPr>
        <w:pStyle w:val="ListBullet"/>
        <w:spacing w:line="324" w:lineRule="auto" w:after="60"/>
        <w:ind w:left="440"/>
      </w:pPr>
      <w:r>
        <w:rPr>
          <w:rFonts w:ascii="宋体" w:hAnsi="宋体" w:eastAsia="宋体"/>
          <w:b w:val="0"/>
          <w:sz w:val="21"/>
        </w:rPr>
        <w:t>集团的合理持股比例是否已确定并完成相应程序？摊薄测算做了没有？</w:t>
      </w:r>
    </w:p>
    <w:p>
      <w:pPr>
        <w:pStyle w:val="ListBullet"/>
        <w:spacing w:line="324" w:lineRule="auto" w:after="60"/>
        <w:ind w:left="440"/>
      </w:pPr>
      <w:r>
        <w:rPr>
          <w:rFonts w:ascii="宋体" w:hAnsi="宋体" w:eastAsia="宋体"/>
          <w:b w:val="0"/>
          <w:sz w:val="21"/>
        </w:rPr>
        <w:t>本省是否对发行本身有额外要求（如要求国有股东按比例参与、不参与需事先报批）？</w:t>
      </w:r>
    </w:p>
    <w:p>
      <w:pPr>
        <w:pStyle w:val="ListBullet"/>
        <w:spacing w:line="324" w:lineRule="auto" w:after="60"/>
        <w:ind w:left="440"/>
      </w:pPr>
      <w:r>
        <w:rPr>
          <w:rFonts w:ascii="宋体" w:hAnsi="宋体" w:eastAsia="宋体"/>
          <w:b w:val="0"/>
          <w:sz w:val="21"/>
        </w:rPr>
        <w:t>本省是否存在现行有效的「董事会前事前报告／备案」要求？</w:t>
      </w:r>
    </w:p>
    <w:p>
      <w:pPr>
        <w:pStyle w:val="ListBullet"/>
        <w:spacing w:line="324" w:lineRule="auto" w:after="60"/>
        <w:ind w:left="440"/>
      </w:pPr>
      <w:r>
        <w:rPr>
          <w:rFonts w:ascii="宋体" w:hAnsi="宋体" w:eastAsia="宋体"/>
          <w:b w:val="0"/>
          <w:sz w:val="21"/>
        </w:rPr>
        <w:t>本次交易是否可能导致丧失控股权？若是，是否需报本级人民政府、是否需经政府常务会议？是否涉及财政部门前置同意？</w:t>
      </w:r>
    </w:p>
    <w:p>
      <w:pPr>
        <w:pStyle w:val="ListBullet"/>
        <w:spacing w:line="324" w:lineRule="auto" w:after="60"/>
        <w:ind w:left="440"/>
      </w:pPr>
      <w:r>
        <w:rPr>
          <w:rFonts w:ascii="宋体" w:hAnsi="宋体" w:eastAsia="宋体"/>
          <w:b w:val="0"/>
          <w:sz w:val="21"/>
        </w:rPr>
        <w:t>标的是否属于金融、文化类？是否属于政府部门／事业单位持股需比照管理的情形？（第七十五、七十六条）</w:t>
      </w:r>
    </w:p>
    <w:p>
      <w:pPr>
        <w:pStyle w:val="ListBullet"/>
        <w:spacing w:line="324" w:lineRule="auto" w:after="60"/>
        <w:ind w:left="440"/>
      </w:pPr>
      <w:r>
        <w:rPr>
          <w:rFonts w:ascii="宋体" w:hAnsi="宋体" w:eastAsia="宋体"/>
          <w:b w:val="0"/>
          <w:sz w:val="21"/>
        </w:rPr>
        <w:t>所依据的地方文件，其援引的上位依据是否仍然有效？</w:t>
      </w:r>
    </w:p>
    <w:p>
      <w:pPr>
        <w:spacing w:before="320" w:after="160"/>
      </w:pPr>
      <w:r>
        <w:rPr>
          <w:rFonts w:ascii="黑体" w:hAnsi="黑体" w:eastAsia="黑体"/>
          <w:b/>
          <w:sz w:val="30"/>
        </w:rPr>
        <w:t>主要依据清单</w:t>
      </w:r>
    </w:p>
    <w:tbl>
      <w:tblPr>
        <w:tblStyle w:val="TableGrid"/>
        <w:tblW w:type="auto" w:w="0"/>
        <w:jc w:val="center"/>
        <w:tblLook w:firstColumn="1" w:firstRow="1" w:lastColumn="0" w:lastRow="0" w:noHBand="0" w:noVBand="1" w:val="04A0"/>
      </w:tblPr>
      <w:tblGrid>
        <w:gridCol w:w="4646"/>
        <w:gridCol w:w="4646"/>
      </w:tblGrid>
      <w:tr>
        <w:tc>
          <w:tcPr>
            <w:tcW w:type="dxa" w:w="5443"/>
            <w:shd w:fill="EEF2F7"/>
          </w:tcPr>
          <w:p>
            <w:pPr>
              <w:jc w:val="center"/>
            </w:pPr>
            <w:r>
              <w:rPr>
                <w:rFonts w:ascii="黑体" w:hAnsi="黑体" w:eastAsia="黑体"/>
                <w:b/>
                <w:sz w:val="20"/>
              </w:rPr>
              <w:t>文件</w:t>
            </w:r>
          </w:p>
        </w:tc>
        <w:tc>
          <w:tcPr>
            <w:tcW w:type="dxa" w:w="3175"/>
            <w:shd w:fill="EEF2F7"/>
          </w:tcPr>
          <w:p>
            <w:pPr>
              <w:jc w:val="center"/>
            </w:pPr>
            <w:r>
              <w:rPr>
                <w:rFonts w:ascii="黑体" w:hAnsi="黑体" w:eastAsia="黑体"/>
                <w:b/>
                <w:sz w:val="20"/>
              </w:rPr>
              <w:t>条文／状态</w:t>
            </w:r>
          </w:p>
        </w:tc>
      </w:tr>
      <w:tr>
        <w:tc>
          <w:tcPr>
            <w:tcW w:type="dxa" w:w="5443"/>
          </w:tcPr>
          <w:p>
            <w:pPr>
              <w:spacing w:after="40" w:line="288" w:lineRule="auto"/>
            </w:pPr>
            <w:r>
              <w:rPr>
                <w:rFonts w:ascii="宋体" w:hAnsi="宋体" w:eastAsia="宋体"/>
                <w:b w:val="0"/>
                <w:sz w:val="19"/>
              </w:rPr>
              <w:t>《上市公司国有股权监督管理办法》（国资委、财政部、证监会令第 36 号，2018-07-01 施行，现行有效，部门规章）</w:t>
            </w:r>
          </w:p>
        </w:tc>
        <w:tc>
          <w:tcPr>
            <w:tcW w:type="dxa" w:w="3175"/>
          </w:tcPr>
          <w:p>
            <w:pPr>
              <w:spacing w:after="40" w:line="288" w:lineRule="auto"/>
            </w:pPr>
            <w:r>
              <w:rPr>
                <w:rFonts w:ascii="宋体" w:hAnsi="宋体" w:eastAsia="宋体"/>
                <w:b w:val="0"/>
                <w:sz w:val="19"/>
              </w:rPr>
              <w:t>第 2、3、5、6、7、8、9、10、11、27、53、54、55、62、63、64、65、66、67、68、71、75、76 条</w:t>
            </w:r>
          </w:p>
        </w:tc>
      </w:tr>
      <w:tr>
        <w:tc>
          <w:tcPr>
            <w:tcW w:type="dxa" w:w="5443"/>
          </w:tcPr>
          <w:p>
            <w:pPr>
              <w:spacing w:after="40" w:line="288" w:lineRule="auto"/>
            </w:pPr>
            <w:r>
              <w:rPr>
                <w:rFonts w:ascii="宋体" w:hAnsi="宋体" w:eastAsia="宋体"/>
                <w:b w:val="0"/>
                <w:sz w:val="19"/>
              </w:rPr>
              <w:t>《关于规范上市公司国有股东行为的若干意见》</w:t>
            </w:r>
          </w:p>
        </w:tc>
        <w:tc>
          <w:tcPr>
            <w:tcW w:type="dxa" w:w="3175"/>
          </w:tcPr>
          <w:p>
            <w:pPr>
              <w:spacing w:after="40" w:line="288" w:lineRule="auto"/>
            </w:pPr>
            <w:r>
              <w:rPr>
                <w:rFonts w:ascii="宋体" w:hAnsi="宋体" w:eastAsia="宋体"/>
                <w:b w:val="0"/>
                <w:sz w:val="19"/>
              </w:rPr>
              <w:t>国资发产权〔2009〕123 号——</w:t>
            </w:r>
            <w:r>
              <w:rPr>
                <w:rFonts w:ascii="宋体" w:hAnsi="宋体" w:eastAsia="宋体"/>
                <w:b/>
                <w:sz w:val="19"/>
              </w:rPr>
              <w:t>已废止或失效</w:t>
            </w:r>
          </w:p>
        </w:tc>
      </w:tr>
      <w:tr>
        <w:tc>
          <w:tcPr>
            <w:tcW w:type="dxa" w:w="5443"/>
          </w:tcPr>
          <w:p>
            <w:pPr>
              <w:spacing w:after="40" w:line="288" w:lineRule="auto"/>
            </w:pPr>
            <w:r>
              <w:rPr>
                <w:rFonts w:ascii="宋体" w:hAnsi="宋体" w:eastAsia="宋体"/>
                <w:b w:val="0"/>
                <w:sz w:val="19"/>
              </w:rPr>
              <w:t>《关于规范国有股东与上市公司进行资产重组有关事项的通知》</w:t>
            </w:r>
          </w:p>
        </w:tc>
        <w:tc>
          <w:tcPr>
            <w:tcW w:type="dxa" w:w="3175"/>
          </w:tcPr>
          <w:p>
            <w:pPr>
              <w:spacing w:after="40" w:line="288" w:lineRule="auto"/>
            </w:pPr>
            <w:r>
              <w:rPr>
                <w:rFonts w:ascii="宋体" w:hAnsi="宋体" w:eastAsia="宋体"/>
                <w:b w:val="0"/>
                <w:sz w:val="19"/>
              </w:rPr>
              <w:t>国资发产权〔2009〕124 号——</w:t>
            </w:r>
            <w:r>
              <w:rPr>
                <w:rFonts w:ascii="宋体" w:hAnsi="宋体" w:eastAsia="宋体"/>
                <w:b/>
                <w:sz w:val="19"/>
              </w:rPr>
              <w:t>已废止或失效</w:t>
            </w:r>
          </w:p>
        </w:tc>
      </w:tr>
      <w:tr>
        <w:tc>
          <w:tcPr>
            <w:tcW w:type="dxa" w:w="5443"/>
          </w:tcPr>
          <w:p>
            <w:pPr>
              <w:spacing w:after="40" w:line="288" w:lineRule="auto"/>
            </w:pPr>
            <w:r>
              <w:rPr>
                <w:rFonts w:ascii="宋体" w:hAnsi="宋体" w:eastAsia="宋体"/>
                <w:b w:val="0"/>
                <w:sz w:val="19"/>
              </w:rPr>
              <w:t>《关于规范上市公司国有股东发行可交换公司债券及国有控股上市公司发行证券有关事项的通知》</w:t>
            </w:r>
          </w:p>
        </w:tc>
        <w:tc>
          <w:tcPr>
            <w:tcW w:type="dxa" w:w="3175"/>
          </w:tcPr>
          <w:p>
            <w:pPr>
              <w:spacing w:after="40" w:line="288" w:lineRule="auto"/>
            </w:pPr>
            <w:r>
              <w:rPr>
                <w:rFonts w:ascii="宋体" w:hAnsi="宋体" w:eastAsia="宋体"/>
                <w:b w:val="0"/>
                <w:sz w:val="19"/>
              </w:rPr>
              <w:t>国资发产权〔2009〕125 号——</w:t>
            </w:r>
            <w:r>
              <w:rPr>
                <w:rFonts w:ascii="宋体" w:hAnsi="宋体" w:eastAsia="宋体"/>
                <w:b/>
                <w:sz w:val="19"/>
              </w:rPr>
              <w:t>已废止或失效</w:t>
            </w:r>
          </w:p>
        </w:tc>
      </w:tr>
      <w:tr>
        <w:tc>
          <w:tcPr>
            <w:tcW w:type="dxa" w:w="5443"/>
          </w:tcPr>
          <w:p>
            <w:pPr>
              <w:spacing w:after="40" w:line="288" w:lineRule="auto"/>
            </w:pPr>
            <w:r>
              <w:rPr>
                <w:rFonts w:ascii="宋体" w:hAnsi="宋体" w:eastAsia="宋体"/>
                <w:b w:val="0"/>
                <w:sz w:val="19"/>
              </w:rPr>
              <w:t>《国有股东转让所持上市公司股份管理暂行办法》</w:t>
            </w:r>
          </w:p>
        </w:tc>
        <w:tc>
          <w:tcPr>
            <w:tcW w:type="dxa" w:w="3175"/>
          </w:tcPr>
          <w:p>
            <w:pPr>
              <w:spacing w:after="40" w:line="288" w:lineRule="auto"/>
            </w:pPr>
            <w:r>
              <w:rPr>
                <w:rFonts w:ascii="宋体" w:hAnsi="宋体" w:eastAsia="宋体"/>
                <w:b w:val="0"/>
                <w:sz w:val="19"/>
              </w:rPr>
              <w:t>国资委、证监会令第 19 号——</w:t>
            </w:r>
            <w:r>
              <w:rPr>
                <w:rFonts w:ascii="宋体" w:hAnsi="宋体" w:eastAsia="宋体"/>
                <w:b/>
                <w:sz w:val="19"/>
              </w:rPr>
              <w:t>已废止或失效</w:t>
            </w:r>
          </w:p>
        </w:tc>
      </w:tr>
      <w:tr>
        <w:tc>
          <w:tcPr>
            <w:tcW w:type="dxa" w:w="5443"/>
          </w:tcPr>
          <w:p>
            <w:pPr>
              <w:spacing w:after="40" w:line="288" w:lineRule="auto"/>
            </w:pPr>
            <w:r>
              <w:rPr>
                <w:rFonts w:ascii="宋体" w:hAnsi="宋体" w:eastAsia="宋体"/>
                <w:b w:val="0"/>
                <w:sz w:val="19"/>
              </w:rPr>
              <w:t>《湖南省人民政府关于省属企业国有资产处置有关事项的通知》</w:t>
            </w:r>
          </w:p>
        </w:tc>
        <w:tc>
          <w:tcPr>
            <w:tcW w:type="dxa" w:w="3175"/>
          </w:tcPr>
          <w:p>
            <w:pPr>
              <w:spacing w:after="40" w:line="288" w:lineRule="auto"/>
            </w:pPr>
            <w:r>
              <w:rPr>
                <w:rFonts w:ascii="宋体" w:hAnsi="宋体" w:eastAsia="宋体"/>
                <w:b w:val="0"/>
                <w:sz w:val="19"/>
              </w:rPr>
              <w:t>湘政发〔2011〕43 号，第五项</w:t>
            </w:r>
          </w:p>
        </w:tc>
      </w:tr>
      <w:tr>
        <w:tc>
          <w:tcPr>
            <w:tcW w:type="dxa" w:w="5443"/>
          </w:tcPr>
          <w:p>
            <w:pPr>
              <w:spacing w:after="40" w:line="288" w:lineRule="auto"/>
            </w:pPr>
            <w:r>
              <w:rPr>
                <w:rFonts w:ascii="宋体" w:hAnsi="宋体" w:eastAsia="宋体"/>
                <w:b w:val="0"/>
                <w:sz w:val="19"/>
              </w:rPr>
              <w:t>《湖南省国资委、湖南省财政厅关于省属企业国有资产交易监督管理有关事项的通知》</w:t>
            </w:r>
          </w:p>
        </w:tc>
        <w:tc>
          <w:tcPr>
            <w:tcW w:type="dxa" w:w="3175"/>
          </w:tcPr>
          <w:p>
            <w:pPr>
              <w:spacing w:after="40" w:line="288" w:lineRule="auto"/>
            </w:pPr>
            <w:r>
              <w:rPr>
                <w:rFonts w:ascii="宋体" w:hAnsi="宋体" w:eastAsia="宋体"/>
                <w:b w:val="0"/>
                <w:sz w:val="19"/>
              </w:rPr>
              <w:t>湘国资〔2020〕70 号</w:t>
            </w:r>
          </w:p>
        </w:tc>
      </w:tr>
      <w:tr>
        <w:tc>
          <w:tcPr>
            <w:tcW w:type="dxa" w:w="5443"/>
          </w:tcPr>
          <w:p>
            <w:pPr>
              <w:spacing w:after="40" w:line="288" w:lineRule="auto"/>
            </w:pPr>
            <w:r>
              <w:rPr>
                <w:rFonts w:ascii="宋体" w:hAnsi="宋体" w:eastAsia="宋体"/>
                <w:b w:val="0"/>
                <w:sz w:val="19"/>
              </w:rPr>
              <w:t>《上海市国资委关于进一步加强本市国有控股股东所持上市公司股份管理的通知》</w:t>
            </w:r>
          </w:p>
        </w:tc>
        <w:tc>
          <w:tcPr>
            <w:tcW w:type="dxa" w:w="3175"/>
          </w:tcPr>
          <w:p>
            <w:pPr>
              <w:spacing w:after="40" w:line="288" w:lineRule="auto"/>
            </w:pPr>
            <w:r>
              <w:rPr>
                <w:rFonts w:ascii="宋体" w:hAnsi="宋体" w:eastAsia="宋体"/>
                <w:b w:val="0"/>
                <w:sz w:val="19"/>
              </w:rPr>
              <w:t>最低持股比例管理</w:t>
            </w:r>
          </w:p>
        </w:tc>
      </w:tr>
      <w:tr>
        <w:tc>
          <w:tcPr>
            <w:tcW w:type="dxa" w:w="5443"/>
          </w:tcPr>
          <w:p>
            <w:pPr>
              <w:spacing w:after="40" w:line="288" w:lineRule="auto"/>
            </w:pPr>
            <w:r>
              <w:rPr>
                <w:rFonts w:ascii="宋体" w:hAnsi="宋体" w:eastAsia="宋体"/>
                <w:b w:val="0"/>
                <w:sz w:val="19"/>
              </w:rPr>
              <w:t>《上海市国有资产管理办公室关于本市上市公司国有股权管理有关问题的通知》</w:t>
            </w:r>
          </w:p>
        </w:tc>
        <w:tc>
          <w:tcPr>
            <w:tcW w:type="dxa" w:w="3175"/>
          </w:tcPr>
          <w:p>
            <w:pPr>
              <w:spacing w:after="40" w:line="288" w:lineRule="auto"/>
            </w:pPr>
            <w:r>
              <w:rPr>
                <w:rFonts w:ascii="宋体" w:hAnsi="宋体" w:eastAsia="宋体"/>
                <w:b w:val="0"/>
                <w:sz w:val="19"/>
              </w:rPr>
              <w:t>事前申报、备案</w:t>
            </w:r>
          </w:p>
        </w:tc>
      </w:tr>
      <w:tr>
        <w:tc>
          <w:tcPr>
            <w:tcW w:type="dxa" w:w="5443"/>
          </w:tcPr>
          <w:p>
            <w:pPr>
              <w:spacing w:after="40" w:line="288" w:lineRule="auto"/>
            </w:pPr>
            <w:r>
              <w:rPr>
                <w:rFonts w:ascii="宋体" w:hAnsi="宋体" w:eastAsia="宋体"/>
                <w:b w:val="0"/>
                <w:sz w:val="19"/>
              </w:rPr>
              <w:t>《成都市上市公司国有股权监督管理实施办法》</w:t>
            </w:r>
          </w:p>
        </w:tc>
        <w:tc>
          <w:tcPr>
            <w:tcW w:type="dxa" w:w="3175"/>
          </w:tcPr>
          <w:p>
            <w:pPr>
              <w:spacing w:after="40" w:line="288" w:lineRule="auto"/>
            </w:pPr>
            <w:r>
              <w:rPr>
                <w:rFonts w:ascii="宋体" w:hAnsi="宋体" w:eastAsia="宋体"/>
                <w:b w:val="0"/>
                <w:sz w:val="19"/>
              </w:rPr>
              <w:t>第九条</w:t>
            </w:r>
          </w:p>
        </w:tc>
      </w:tr>
      <w:tr>
        <w:tc>
          <w:tcPr>
            <w:tcW w:type="dxa" w:w="5443"/>
          </w:tcPr>
          <w:p>
            <w:pPr>
              <w:spacing w:after="40" w:line="288" w:lineRule="auto"/>
            </w:pPr>
            <w:r>
              <w:rPr>
                <w:rFonts w:ascii="宋体" w:hAnsi="宋体" w:eastAsia="宋体"/>
                <w:b w:val="0"/>
                <w:sz w:val="19"/>
              </w:rPr>
              <w:t>《江苏省国资委关于印发〈省属国有控股上市公司战略股东管理暂行办法〉的通知》</w:t>
            </w:r>
          </w:p>
        </w:tc>
        <w:tc>
          <w:tcPr>
            <w:tcW w:type="dxa" w:w="3175"/>
          </w:tcPr>
          <w:p>
            <w:pPr>
              <w:spacing w:after="40" w:line="288" w:lineRule="auto"/>
            </w:pPr>
            <w:r>
              <w:rPr>
                <w:rFonts w:ascii="宋体" w:hAnsi="宋体" w:eastAsia="宋体"/>
                <w:b w:val="0"/>
                <w:sz w:val="19"/>
              </w:rPr>
              <w:t>第四、六条</w:t>
            </w:r>
          </w:p>
        </w:tc>
      </w:tr>
      <w:tr>
        <w:tc>
          <w:tcPr>
            <w:tcW w:type="dxa" w:w="5443"/>
          </w:tcPr>
          <w:p>
            <w:pPr>
              <w:spacing w:after="40" w:line="288" w:lineRule="auto"/>
            </w:pPr>
            <w:r>
              <w:rPr>
                <w:rFonts w:ascii="宋体" w:hAnsi="宋体" w:eastAsia="宋体"/>
                <w:b w:val="0"/>
                <w:sz w:val="19"/>
              </w:rPr>
              <w:t>江苏省国资委《关于修改部分规范性文件的通知》</w:t>
            </w:r>
          </w:p>
        </w:tc>
        <w:tc>
          <w:tcPr>
            <w:tcW w:type="dxa" w:w="3175"/>
          </w:tcPr>
          <w:p>
            <w:pPr>
              <w:spacing w:after="40" w:line="288" w:lineRule="auto"/>
            </w:pPr>
            <w:r>
              <w:rPr>
                <w:rFonts w:ascii="宋体" w:hAnsi="宋体" w:eastAsia="宋体"/>
                <w:b w:val="0"/>
                <w:sz w:val="19"/>
              </w:rPr>
              <w:t>2023 年 5 月 29 日</w:t>
            </w:r>
          </w:p>
        </w:tc>
      </w:tr>
      <w:tr>
        <w:tc>
          <w:tcPr>
            <w:tcW w:type="dxa" w:w="5443"/>
          </w:tcPr>
          <w:p>
            <w:pPr>
              <w:spacing w:after="40" w:line="288" w:lineRule="auto"/>
            </w:pPr>
            <w:r>
              <w:rPr>
                <w:rFonts w:ascii="宋体" w:hAnsi="宋体" w:eastAsia="宋体"/>
                <w:b w:val="0"/>
                <w:sz w:val="19"/>
              </w:rPr>
              <w:t>《河北省国资委关于进一步加强省内上市公司国有股权管理和规范国有股股东行为的意见》</w:t>
            </w:r>
          </w:p>
        </w:tc>
        <w:tc>
          <w:tcPr>
            <w:tcW w:type="dxa" w:w="3175"/>
          </w:tcPr>
          <w:p>
            <w:pPr>
              <w:spacing w:after="40" w:line="288" w:lineRule="auto"/>
            </w:pPr>
            <w:r>
              <w:rPr>
                <w:rFonts w:ascii="宋体" w:hAnsi="宋体" w:eastAsia="宋体"/>
                <w:b w:val="0"/>
                <w:sz w:val="19"/>
              </w:rPr>
              <w:t>第三项</w:t>
            </w:r>
          </w:p>
        </w:tc>
      </w:tr>
      <w:tr>
        <w:tc>
          <w:tcPr>
            <w:tcW w:type="dxa" w:w="5443"/>
          </w:tcPr>
          <w:p>
            <w:pPr>
              <w:spacing w:after="40" w:line="288" w:lineRule="auto"/>
            </w:pPr>
            <w:r>
              <w:rPr>
                <w:rFonts w:ascii="宋体" w:hAnsi="宋体" w:eastAsia="宋体"/>
                <w:b w:val="0"/>
                <w:sz w:val="19"/>
              </w:rPr>
              <w:t>四川省国资委关于下放本省市（州）级以下上市公司国有股权变动监督管理权限的通知</w:t>
            </w:r>
          </w:p>
        </w:tc>
        <w:tc>
          <w:tcPr>
            <w:tcW w:type="dxa" w:w="3175"/>
          </w:tcPr>
          <w:p>
            <w:pPr>
              <w:spacing w:after="40" w:line="288" w:lineRule="auto"/>
            </w:pPr>
            <w:r>
              <w:rPr>
                <w:rFonts w:ascii="宋体" w:hAnsi="宋体" w:eastAsia="宋体"/>
                <w:b w:val="0"/>
                <w:sz w:val="19"/>
              </w:rPr>
              <w:t>权限下放实例</w:t>
            </w:r>
          </w:p>
        </w:tc>
      </w:tr>
    </w:tbl>
    <w:p>
      <w:pPr>
        <w:spacing w:after="80"/>
      </w:pPr>
    </w:p>
    <w:p/>
    <w:p>
      <w:pPr>
        <w:spacing w:before="200"/>
      </w:pPr>
      <w:r>
        <w:rPr>
          <w:rFonts w:ascii="楷体" w:hAnsi="楷体" w:eastAsia="楷体"/>
          <w:b w:val="0"/>
          <w:color w:val="666666"/>
          <w:sz w:val="19"/>
        </w:rPr>
        <w:t>免责声明：本文为法律问题的研究与学习材料，免费提供，仅供参考学习之用，不构成对任何具体事项的法律意见，亦不承担法律责任。所引条文以检索时的现行有效版本为准，地方规范性文件的效力状态与执行口径可能变动，本文内容可能更新不及时或不准确。具体事项请咨询您的律师。</w:t>
      </w:r>
    </w:p>
    <w:sectPr w:rsidR="00FC693F" w:rsidRPr="0006063C" w:rsidSect="00034616">
      <w:pgSz w:w="12240" w:h="15840"/>
      <w:pgMar w:top="1361" w:right="1474" w:bottom="1361"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20"/>
    </w:pPr>
    <w:rPr>
      <w:rFonts w:ascii="宋体" w:hAnsi="宋体" w:eastAsia="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