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律师复核提示</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本提示供承办律师在使用本包文书的全过程中进行专项复核。本包全部文本均为示范文本，必须结合标的【基金】的合伙协议、基金合同与交易实际情况逐条调整后使用；本提示所列事项是最低限度的复核范围，不能代替承办律师对交易的整体判断。本提示所称各号文件以本包文件清单为准，实际使用中文件名称或者编号如有调整，按功能对应关系复核。】</w:t>
      </w:r>
    </w:p>
    <w:p>
      <w:pPr>
        <w:spacing w:line="319" w:lineRule="auto" w:after="40"/>
        <w:jc w:val="both"/>
      </w:pPr>
      <w:r>
        <w:rPr>
          <w:rFonts w:ascii="Times New Roman" w:hAnsi="Times New Roman" w:eastAsia="SimSun"/>
          <w:b w:val="0"/>
          <w:sz w:val="24"/>
        </w:rPr>
        <w:t>本包共十六份文件（00号至15号），围绕合伙型私募基金财产份额转让及随之而来的执行事务合伙人变更、私募基金管理人变更设计。建议分三步复核：第一步对照第一部分逐份核对必核事项；第二步按第二部分七个横向维度对全套文件作交叉核验；第三步按第三部分建议的顺序安排签署与归档，形成完整的程序证据链。本提示中，《私募投资基金备案指引第2号——私募股权、创业投资基金》简称指引2号，《私募投资基金备案指引第3号——私募投资基金变更管理人》（2025年修订）简称指引3号。</w:t>
      </w:r>
    </w:p>
    <w:p>
      <w:pPr>
        <w:spacing w:line="341" w:lineRule="auto" w:before="200" w:after="120"/>
      </w:pPr>
      <w:r>
        <w:rPr>
          <w:rFonts w:ascii="Times New Roman" w:hAnsi="Times New Roman" w:eastAsia="SimHei"/>
          <w:b/>
          <w:sz w:val="28"/>
        </w:rPr>
        <w:t>第一部分　逐份必核事项</w:t>
      </w:r>
    </w:p>
    <w:p>
      <w:pPr>
        <w:spacing w:line="341" w:lineRule="auto" w:before="200" w:after="120"/>
      </w:pPr>
      <w:r>
        <w:rPr>
          <w:rFonts w:ascii="Times New Roman" w:hAnsi="Times New Roman" w:eastAsia="SimHei"/>
          <w:b/>
          <w:sz w:val="28"/>
        </w:rPr>
        <w:t>00号文件（使用说明与场景指引）</w:t>
      </w:r>
    </w:p>
    <w:p>
      <w:pPr>
        <w:spacing w:line="319" w:lineRule="auto" w:after="40"/>
        <w:jc w:val="both"/>
      </w:pPr>
      <w:r>
        <w:rPr>
          <w:rFonts w:ascii="Times New Roman" w:hAnsi="Times New Roman" w:eastAsia="SimSun"/>
          <w:b w:val="0"/>
          <w:sz w:val="24"/>
        </w:rPr>
        <w:t>1、核对使用人选定的场景与实际交易匹配：GP份额转让与LP份额转让适用的文件组合与责任条款完全不同，重点排查错用轨道的情形（如LP转让误套GP轨无限连带责任表述，或者GP转让漏配执行事务合伙人变更文件）。</w:t>
      </w:r>
    </w:p>
    <w:p>
      <w:pPr>
        <w:spacing w:line="319" w:lineRule="auto" w:after="40"/>
        <w:jc w:val="both"/>
      </w:pPr>
      <w:r>
        <w:rPr>
          <w:rFonts w:ascii="Times New Roman" w:hAnsi="Times New Roman" w:eastAsia="SimSun"/>
          <w:b w:val="0"/>
          <w:sz w:val="24"/>
        </w:rPr>
        <w:t>2、核对场景指引列示的文件组合与本次交易实际使用的文件一一对应，未使用的文件应当记录不使用的理由并归档备查。</w:t>
      </w:r>
    </w:p>
    <w:p>
      <w:pPr>
        <w:spacing w:line="319" w:lineRule="auto" w:after="40"/>
        <w:jc w:val="both"/>
      </w:pPr>
      <w:r>
        <w:rPr>
          <w:rFonts w:ascii="Times New Roman" w:hAnsi="Times New Roman" w:eastAsia="SimSun"/>
          <w:b w:val="0"/>
          <w:sz w:val="24"/>
        </w:rPr>
        <w:t>3、交易实质为普通合伙人与有限合伙人相互转变而非对外转让的，除合伙协议另有约定外应当经全体合伙人一致同意（《合伙企业法》第八十二条），且普通合伙人转变为有限合伙人的，对其作为普通合伙人期间合伙企业发生的债务仍承担无限连带责任（第八十四条），不得以纯转让文本简单套用。</w:t>
      </w:r>
    </w:p>
    <w:p>
      <w:pPr>
        <w:spacing w:line="341" w:lineRule="auto" w:before="200" w:after="120"/>
      </w:pPr>
      <w:r>
        <w:rPr>
          <w:rFonts w:ascii="Times New Roman" w:hAnsi="Times New Roman" w:eastAsia="SimHei"/>
          <w:b/>
          <w:sz w:val="28"/>
        </w:rPr>
        <w:t>01号文件（普通合伙人（GP）份额转让协议）</w:t>
      </w:r>
    </w:p>
    <w:p>
      <w:pPr>
        <w:spacing w:line="319" w:lineRule="auto" w:after="40"/>
        <w:jc w:val="both"/>
      </w:pPr>
      <w:r>
        <w:rPr>
          <w:rFonts w:ascii="Times New Roman" w:hAnsi="Times New Roman" w:eastAsia="SimSun"/>
          <w:b w:val="0"/>
          <w:sz w:val="24"/>
        </w:rPr>
        <w:t>1、先决条件勾选与合伙协议限制条款逐条比对：合伙协议就GP份额转让约定的同意程序、受让方资格条件、禁售期等限制是否全部转化为协议先决条件；《合伙企业法》第二十二条规定的其他合伙人一致同意仅为默认规则，合伙协议另有约定的必须按约定改写，不得直接按默认规则签署。</w:t>
      </w:r>
    </w:p>
    <w:p>
      <w:pPr>
        <w:spacing w:line="319" w:lineRule="auto" w:after="40"/>
        <w:jc w:val="both"/>
      </w:pPr>
      <w:r>
        <w:rPr>
          <w:rFonts w:ascii="Times New Roman" w:hAnsi="Times New Roman" w:eastAsia="SimSun"/>
          <w:b w:val="0"/>
          <w:sz w:val="24"/>
        </w:rPr>
        <w:t>2、债务责任与补偿条款：【受让方】对入伙前【基金】债务承担无限连带责任（《合伙企业法》第四十四条）、【转让方】对基于其退伙前的原因发生的债务承担无限连带责任（第五十三条），二者均系对外法定责任，协议只能作内部补偿安排；核对补偿条款的触发情形、补偿范围、期限与上限是否明确，是否与09号清单核出的负债敞口匹配。</w:t>
      </w:r>
    </w:p>
    <w:p>
      <w:pPr>
        <w:spacing w:line="319" w:lineRule="auto" w:after="40"/>
        <w:jc w:val="both"/>
      </w:pPr>
      <w:r>
        <w:rPr>
          <w:rFonts w:ascii="Times New Roman" w:hAnsi="Times New Roman" w:eastAsia="SimSun"/>
          <w:b w:val="0"/>
          <w:sz w:val="24"/>
        </w:rPr>
        <w:t>3、价款支付与交割节奏：留存价款的比例、释放条件与或有负债窗口期是否衔接；价款支付义务与先决条件成就、变更登记完成的先后关系是否清晰无歧义。</w:t>
      </w:r>
    </w:p>
    <w:p>
      <w:pPr>
        <w:spacing w:line="319" w:lineRule="auto" w:after="40"/>
        <w:jc w:val="both"/>
      </w:pPr>
      <w:r>
        <w:rPr>
          <w:rFonts w:ascii="Times New Roman" w:hAnsi="Times New Roman" w:eastAsia="SimSun"/>
          <w:b w:val="0"/>
          <w:sz w:val="24"/>
        </w:rPr>
        <w:t>4、身份触发程序：【转让方】或者【受让方】涉国有、外资身份的，核对相应前置程序是否已作为先决条件列入（详见第二部分维度六）。</w:t>
      </w:r>
    </w:p>
    <w:p>
      <w:pPr>
        <w:spacing w:line="341" w:lineRule="auto" w:before="200" w:after="120"/>
      </w:pPr>
      <w:r>
        <w:rPr>
          <w:rFonts w:ascii="Times New Roman" w:hAnsi="Times New Roman" w:eastAsia="SimHei"/>
          <w:b/>
          <w:sz w:val="28"/>
        </w:rPr>
        <w:t>02号文件（有限合伙人（LP）份额转让协议）</w:t>
      </w:r>
    </w:p>
    <w:p>
      <w:pPr>
        <w:spacing w:line="319" w:lineRule="auto" w:after="40"/>
        <w:jc w:val="both"/>
      </w:pPr>
      <w:r>
        <w:rPr>
          <w:rFonts w:ascii="Times New Roman" w:hAnsi="Times New Roman" w:eastAsia="SimSun"/>
          <w:b w:val="0"/>
          <w:sz w:val="24"/>
        </w:rPr>
        <w:t>1、三十日通知的实际履行：有限合伙人按照合伙协议的约定向合伙人以外的人转让财产份额的，应当提前三十日通知其他合伙人（《合伙企业法》第七十三条）；核对通知是否实际发出、期间是否已届满三十日、发出与送达凭证是否归档；合伙协议对转让程序另有约定的，一并按约定核对。</w:t>
      </w:r>
    </w:p>
    <w:p>
      <w:pPr>
        <w:spacing w:line="319" w:lineRule="auto" w:after="40"/>
        <w:jc w:val="both"/>
      </w:pPr>
      <w:r>
        <w:rPr>
          <w:rFonts w:ascii="Times New Roman" w:hAnsi="Times New Roman" w:eastAsia="SimSun"/>
          <w:b w:val="0"/>
          <w:sz w:val="24"/>
        </w:rPr>
        <w:t>2、受让方适当性材料归档：合格投资者证明材料、风险识别能力与风险承担能力材料及风险揭示文件签署件是否齐备（《私募投资基金监督管理条例》第十八条）；有无拆分份额或者收益权降低合格投资者标准的安排。</w:t>
      </w:r>
    </w:p>
    <w:p>
      <w:pPr>
        <w:spacing w:line="319" w:lineRule="auto" w:after="40"/>
        <w:jc w:val="both"/>
      </w:pPr>
      <w:r>
        <w:rPr>
          <w:rFonts w:ascii="Times New Roman" w:hAnsi="Times New Roman" w:eastAsia="SimSun"/>
          <w:b w:val="0"/>
          <w:sz w:val="24"/>
        </w:rPr>
        <w:t>3、责任条款轨道核对：【受让方】对入伙前债务以认缴出资额为限（《合伙企业法》第七十七条）、【转让方】退出后以退伙时取回的财产为限（第八十一条），全篇不得混入无限连带责任表述。</w:t>
      </w:r>
    </w:p>
    <w:p>
      <w:pPr>
        <w:spacing w:line="341" w:lineRule="auto" w:before="200" w:after="120"/>
      </w:pPr>
      <w:r>
        <w:rPr>
          <w:rFonts w:ascii="Times New Roman" w:hAnsi="Times New Roman" w:eastAsia="SimHei"/>
          <w:b/>
          <w:sz w:val="28"/>
        </w:rPr>
        <w:t>03号文件（合伙人会议决议暨全体合伙人决定书）</w:t>
      </w:r>
    </w:p>
    <w:p>
      <w:pPr>
        <w:spacing w:line="319" w:lineRule="auto" w:after="40"/>
        <w:jc w:val="both"/>
      </w:pPr>
      <w:r>
        <w:rPr>
          <w:rFonts w:ascii="Times New Roman" w:hAnsi="Times New Roman" w:eastAsia="SimSun"/>
          <w:b w:val="0"/>
          <w:sz w:val="24"/>
        </w:rPr>
        <w:t>1、签章完整性：全体合伙人应当逐一签章；缺任何一名合伙人签章的，不构成一致同意，应当核对合伙协议是否另有可替代的表决机制，没有的应当暂停交易推进，而非带瑕疵签署。</w:t>
      </w:r>
    </w:p>
    <w:p>
      <w:pPr>
        <w:spacing w:line="319" w:lineRule="auto" w:after="40"/>
        <w:jc w:val="both"/>
      </w:pPr>
      <w:r>
        <w:rPr>
          <w:rFonts w:ascii="Times New Roman" w:hAnsi="Times New Roman" w:eastAsia="SimSun"/>
          <w:b w:val="0"/>
          <w:sz w:val="24"/>
        </w:rPr>
        <w:t>2、放弃优先购买权的意思表示是否明确指向本次转让的具体条件（受让主体、转让份额、转让价格）；上述条件后续发生变化的，应当重新取得同意与放弃文件。</w:t>
      </w:r>
    </w:p>
    <w:p>
      <w:pPr>
        <w:spacing w:line="319" w:lineRule="auto" w:after="40"/>
        <w:jc w:val="both"/>
      </w:pPr>
      <w:r>
        <w:rPr>
          <w:rFonts w:ascii="Times New Roman" w:hAnsi="Times New Roman" w:eastAsia="SimSun"/>
          <w:b w:val="0"/>
          <w:sz w:val="24"/>
        </w:rPr>
        <w:t>3、法人或者其他组织合伙人签章的，核对其内部有权机构决议等授权文件是否配套齐备。</w:t>
      </w:r>
    </w:p>
    <w:p>
      <w:pPr>
        <w:spacing w:line="319" w:lineRule="auto" w:after="40"/>
        <w:jc w:val="both"/>
      </w:pPr>
      <w:r>
        <w:rPr>
          <w:rFonts w:ascii="Times New Roman" w:hAnsi="Times New Roman" w:eastAsia="SimSun"/>
          <w:b w:val="0"/>
          <w:sz w:val="24"/>
        </w:rPr>
        <w:t>4、涉及执行事务合伙人变更的，核对第（五）项记载：继任【执行事务合伙人】必须是普通合伙人（《合伙企业法》第六十七条）；作为合伙人的法人、其他组织执行合伙事务的，由其委派的代表执行（第二十六条第三款），委派文件齐备且委派代表身份信息与工商登记、协会拟报送信息一致。</w:t>
      </w:r>
    </w:p>
    <w:p>
      <w:pPr>
        <w:spacing w:line="319" w:lineRule="auto" w:after="40"/>
        <w:jc w:val="both"/>
      </w:pPr>
      <w:r>
        <w:rPr>
          <w:rFonts w:ascii="Times New Roman" w:hAnsi="Times New Roman" w:eastAsia="SimSun"/>
          <w:b w:val="0"/>
          <w:sz w:val="24"/>
        </w:rPr>
        <w:t>5、有限合伙人表决边界：有限合伙人参与决定普通合伙人入伙、退伙，不视为执行合伙事务（第六十八条第二款第（一）项）；决议记载的表决事项应当控制在该安全范围内，避免出现有限合伙人干预执行事务的记载。</w:t>
      </w:r>
    </w:p>
    <w:p>
      <w:pPr>
        <w:spacing w:line="300" w:lineRule="auto" w:after="60"/>
        <w:jc w:val="both"/>
      </w:pPr>
      <w:r>
        <w:rPr>
          <w:rFonts w:ascii="Times New Roman" w:hAnsi="Times New Roman" w:eastAsia="SimSun"/>
          <w:b w:val="0"/>
          <w:color w:val="7F7F7F"/>
          <w:sz w:val="21"/>
        </w:rPr>
        <w:t>【拟稿注：裁判实践中有案例认为，合伙协议对普通合伙人转让份额设置的限制条款有效，未按约定取得同意的转让合同不生效；亦有案例认为，全体合伙人共同签署的变更决定书可以证明同意转让并放弃优先购买权。本文件的证据价值正在于此，签章完整性直接决定转让合同效力层面的安全边际。】</w:t>
      </w:r>
    </w:p>
    <w:p>
      <w:pPr>
        <w:spacing w:line="341" w:lineRule="auto" w:before="200" w:after="120"/>
      </w:pPr>
      <w:r>
        <w:rPr>
          <w:rFonts w:ascii="Times New Roman" w:hAnsi="Times New Roman" w:eastAsia="SimHei"/>
          <w:b/>
          <w:sz w:val="28"/>
        </w:rPr>
        <w:t>04号文件（份额转让通知与同意函模板集）</w:t>
      </w:r>
    </w:p>
    <w:p>
      <w:pPr>
        <w:spacing w:line="319" w:lineRule="auto" w:after="40"/>
        <w:jc w:val="both"/>
      </w:pPr>
      <w:r>
        <w:rPr>
          <w:rFonts w:ascii="Times New Roman" w:hAnsi="Times New Roman" w:eastAsia="SimSun"/>
          <w:b w:val="0"/>
          <w:sz w:val="24"/>
        </w:rPr>
        <w:t>1、通知对象覆盖全部【其他合伙人】，送达方式符合合伙协议约定的通知与送达条款，送达凭证逐份归档。</w:t>
      </w:r>
    </w:p>
    <w:p>
      <w:pPr>
        <w:spacing w:line="319" w:lineRule="auto" w:after="40"/>
        <w:jc w:val="both"/>
      </w:pPr>
      <w:r>
        <w:rPr>
          <w:rFonts w:ascii="Times New Roman" w:hAnsi="Times New Roman" w:eastAsia="SimSun"/>
          <w:b w:val="0"/>
          <w:sz w:val="24"/>
        </w:rPr>
        <w:t>2、通知内容载明拟转让份额数量、转让价格与【受让方】基本情况等必要信息；LP轨的三十日期间起算规则与02号协议的签署、交割时点衔接一致。</w:t>
      </w:r>
    </w:p>
    <w:p>
      <w:pPr>
        <w:spacing w:line="319" w:lineRule="auto" w:after="40"/>
        <w:jc w:val="both"/>
      </w:pPr>
      <w:r>
        <w:rPr>
          <w:rFonts w:ascii="Times New Roman" w:hAnsi="Times New Roman" w:eastAsia="SimSun"/>
          <w:b w:val="0"/>
          <w:sz w:val="24"/>
        </w:rPr>
        <w:t>3、通知不能替代同意：GP轨对外转让仍须按03号文件取得同意；合伙人之间转让的，核对是否已履行通知其他合伙人的义务（《合伙企业法》第二十二条）。</w:t>
      </w:r>
    </w:p>
    <w:p>
      <w:pPr>
        <w:spacing w:line="319" w:lineRule="auto" w:after="40"/>
        <w:jc w:val="both"/>
      </w:pPr>
      <w:r>
        <w:rPr>
          <w:rFonts w:ascii="Times New Roman" w:hAnsi="Times New Roman" w:eastAsia="SimSun"/>
          <w:b w:val="0"/>
          <w:sz w:val="24"/>
        </w:rPr>
        <w:t>4、模板三复函的同意与放弃优先购买权表述，应与03号决定书锁定的同等条件（数量、价格、支付方式与期限）逐项一致；四要素任何一项后续变化的，重新履行通知与同意程序。</w:t>
      </w:r>
    </w:p>
    <w:p>
      <w:pPr>
        <w:spacing w:line="341" w:lineRule="auto" w:before="200" w:after="120"/>
      </w:pPr>
      <w:r>
        <w:rPr>
          <w:rFonts w:ascii="Times New Roman" w:hAnsi="Times New Roman" w:eastAsia="SimHei"/>
          <w:b/>
          <w:sz w:val="28"/>
        </w:rPr>
        <w:t>05号文件（入伙协议）</w:t>
      </w:r>
    </w:p>
    <w:p>
      <w:pPr>
        <w:spacing w:line="319" w:lineRule="auto" w:after="40"/>
        <w:jc w:val="both"/>
      </w:pPr>
      <w:r>
        <w:rPr>
          <w:rFonts w:ascii="Times New Roman" w:hAnsi="Times New Roman" w:eastAsia="SimSun"/>
          <w:b w:val="0"/>
          <w:sz w:val="24"/>
        </w:rPr>
        <w:t>1、如实告知义务的落实：订立入伙协议时，原合伙人应当向新合伙人如实告知原合伙企业的经营状况和财务状况（《合伙企业法》第四十三条）；核对告知的载体（披露文件清单）是否作为附件固定，并与09号尽职调查范围衔接。</w:t>
      </w:r>
    </w:p>
    <w:p>
      <w:pPr>
        <w:spacing w:line="319" w:lineRule="auto" w:after="40"/>
        <w:jc w:val="both"/>
      </w:pPr>
      <w:r>
        <w:rPr>
          <w:rFonts w:ascii="Times New Roman" w:hAnsi="Times New Roman" w:eastAsia="SimSun"/>
          <w:b w:val="0"/>
          <w:sz w:val="24"/>
        </w:rPr>
        <w:t>2、责任承接与轨道匹配：GP轨【受让方】对入伙前债务承担无限连带责任（第四十四条）、LP轨【受让方】以认缴出资额为限（第七十七条）；入伙协议与01号或者02号转让协议的责任表述必须一致，不得一份文件一个口径。</w:t>
      </w:r>
    </w:p>
    <w:p>
      <w:pPr>
        <w:spacing w:line="319" w:lineRule="auto" w:after="40"/>
        <w:jc w:val="both"/>
      </w:pPr>
      <w:r>
        <w:rPr>
          <w:rFonts w:ascii="Times New Roman" w:hAnsi="Times New Roman" w:eastAsia="SimSun"/>
          <w:b w:val="0"/>
          <w:sz w:val="24"/>
        </w:rPr>
        <w:t>3、签署主体：入伙应当依法订立书面入伙协议（第四十三条）；由【执行事务合伙人】代表其他合伙人签署的，核对合伙协议的明确授权依据。</w:t>
      </w:r>
    </w:p>
    <w:p>
      <w:pPr>
        <w:spacing w:line="341" w:lineRule="auto" w:before="200" w:after="120"/>
      </w:pPr>
      <w:r>
        <w:rPr>
          <w:rFonts w:ascii="Times New Roman" w:hAnsi="Times New Roman" w:eastAsia="SimHei"/>
          <w:b/>
          <w:sz w:val="28"/>
        </w:rPr>
        <w:t>06号文件（合伙协议修正案）</w:t>
      </w:r>
    </w:p>
    <w:p>
      <w:pPr>
        <w:spacing w:line="319" w:lineRule="auto" w:after="40"/>
        <w:jc w:val="both"/>
      </w:pPr>
      <w:r>
        <w:rPr>
          <w:rFonts w:ascii="Times New Roman" w:hAnsi="Times New Roman" w:eastAsia="SimSun"/>
          <w:b w:val="0"/>
          <w:sz w:val="24"/>
        </w:rPr>
        <w:t>1、变更前后出资表勾稽：逐项核对各合伙人认缴出资额、实缴出资额、出资比例三组数字在变更前后的勾稽关系，合计数应当一致（仅转让不增减出资的情形）；转让部分份额的，拆分计算与保留份额数字准确无误。</w:t>
      </w:r>
    </w:p>
    <w:p>
      <w:pPr>
        <w:spacing w:line="319" w:lineRule="auto" w:after="40"/>
        <w:jc w:val="both"/>
      </w:pPr>
      <w:r>
        <w:rPr>
          <w:rFonts w:ascii="Times New Roman" w:hAnsi="Times New Roman" w:eastAsia="SimSun"/>
          <w:b w:val="0"/>
          <w:sz w:val="24"/>
        </w:rPr>
        <w:t>2、程序与效力：修改或者补充合伙协议默认经全体合伙人一致同意（《合伙企业法》第十九条第二款），合伙协议另有约定的按约定核对表决记录；合伙人以外的人依法受让财产份额的，经修改合伙协议即成为合伙人（第二十四条），修正案签署主体不得遗漏【受让方】本人。</w:t>
      </w:r>
    </w:p>
    <w:p>
      <w:pPr>
        <w:spacing w:line="319" w:lineRule="auto" w:after="40"/>
        <w:jc w:val="both"/>
      </w:pPr>
      <w:r>
        <w:rPr>
          <w:rFonts w:ascii="Times New Roman" w:hAnsi="Times New Roman" w:eastAsia="SimSun"/>
          <w:b w:val="0"/>
          <w:sz w:val="24"/>
        </w:rPr>
        <w:t>3、登记衔接：修正案内容覆盖工商变更登记全部所需事项（合伙人及其出资、【执行事务合伙人】及委派代表变化等），并与登记机关要求的文本格式核对，避免退件反复。</w:t>
      </w:r>
    </w:p>
    <w:p>
      <w:pPr>
        <w:spacing w:line="341" w:lineRule="auto" w:before="200" w:after="120"/>
      </w:pPr>
      <w:r>
        <w:rPr>
          <w:rFonts w:ascii="Times New Roman" w:hAnsi="Times New Roman" w:eastAsia="SimHei"/>
          <w:b/>
          <w:sz w:val="28"/>
        </w:rPr>
        <w:t>07号文件（退伙结算确认书）</w:t>
      </w:r>
    </w:p>
    <w:p>
      <w:pPr>
        <w:spacing w:line="319" w:lineRule="auto" w:after="40"/>
        <w:jc w:val="both"/>
      </w:pPr>
      <w:r>
        <w:rPr>
          <w:rFonts w:ascii="Times New Roman" w:hAnsi="Times New Roman" w:eastAsia="SimSun"/>
          <w:b w:val="0"/>
          <w:sz w:val="24"/>
        </w:rPr>
        <w:t>1、结算基准日衔接：结算基准日与01号协议第五条约定的基准日、第六条约定的交割日的关系是否已明确记载；不为同一日的，差异期间损益、费用的归属处理方式是否已在备注栏说明，避免出现归属空档或重叠。</w:t>
      </w:r>
    </w:p>
    <w:p>
      <w:pPr>
        <w:spacing w:line="319" w:lineRule="auto" w:after="40"/>
        <w:jc w:val="both"/>
      </w:pPr>
      <w:r>
        <w:rPr>
          <w:rFonts w:ascii="Times New Roman" w:hAnsi="Times New Roman" w:eastAsia="SimSun"/>
          <w:b w:val="0"/>
          <w:sz w:val="24"/>
        </w:rPr>
        <w:t>2、结算口径：按退伙时【基金】财产状况结算（《合伙企业法》第五十一条），财产状况确认依据（专项核算或各方认可的报表）已载明；有未了结事务的，逐项列入清单并约定补充结算安排（第五十一条第二款），不得以概括表述带过。</w:t>
      </w:r>
    </w:p>
    <w:p>
      <w:pPr>
        <w:spacing w:line="319" w:lineRule="auto" w:after="40"/>
        <w:jc w:val="both"/>
      </w:pPr>
      <w:r>
        <w:rPr>
          <w:rFonts w:ascii="Times New Roman" w:hAnsi="Times New Roman" w:eastAsia="SimSun"/>
          <w:b w:val="0"/>
          <w:sz w:val="24"/>
        </w:rPr>
        <w:t>3、赔偿扣减与责任确认：【转让方】应赔偿数额的扣减事由与金额记载清楚；责任尾巴确认条款与01号协议第六条的对外责任声明、对内补偿安排一致，不得出现减免对外法定责任的表述。</w:t>
      </w:r>
    </w:p>
    <w:p>
      <w:pPr>
        <w:spacing w:line="341" w:lineRule="auto" w:before="200" w:after="120"/>
      </w:pPr>
      <w:r>
        <w:rPr>
          <w:rFonts w:ascii="Times New Roman" w:hAnsi="Times New Roman" w:eastAsia="SimHei"/>
          <w:b/>
          <w:sz w:val="28"/>
        </w:rPr>
        <w:t>08号文件（受让方合格投资者确认与风险揭示函）</w:t>
      </w:r>
    </w:p>
    <w:p>
      <w:pPr>
        <w:spacing w:line="319" w:lineRule="auto" w:after="40"/>
        <w:jc w:val="both"/>
      </w:pPr>
      <w:r>
        <w:rPr>
          <w:rFonts w:ascii="Times New Roman" w:hAnsi="Times New Roman" w:eastAsia="SimSun"/>
          <w:b w:val="0"/>
          <w:sz w:val="24"/>
        </w:rPr>
        <w:t>1、合格投资者材料齐备：标准勾选与证明材料（资产证明或收入证明）对应，受让金额不低于规定限额（《私募投资基金监督管理条例》第十八条）；反拆分、反代持、反汇集他人资金承诺已签署。</w:t>
      </w:r>
    </w:p>
    <w:p>
      <w:pPr>
        <w:spacing w:line="319" w:lineRule="auto" w:after="40"/>
        <w:jc w:val="both"/>
      </w:pPr>
      <w:r>
        <w:rPr>
          <w:rFonts w:ascii="Times New Roman" w:hAnsi="Times New Roman" w:eastAsia="SimSun"/>
          <w:b w:val="0"/>
          <w:sz w:val="24"/>
        </w:rPr>
        <w:t>2、风险揭示逐项确认：风险确认项由【受让方】逐项签字或勾选，不得整页一次性签署替代；基金正在办理管理人或者普通合伙人变更尚未完成的，特别提示已载明（《私募投资基金登记备案办法》第二十八条第二款第（八）项）。</w:t>
      </w:r>
    </w:p>
    <w:p>
      <w:pPr>
        <w:spacing w:line="319" w:lineRule="auto" w:after="40"/>
        <w:jc w:val="both"/>
      </w:pPr>
      <w:r>
        <w:rPr>
          <w:rFonts w:ascii="Times New Roman" w:hAnsi="Times New Roman" w:eastAsia="SimSun"/>
          <w:b w:val="0"/>
          <w:sz w:val="24"/>
        </w:rPr>
        <w:t>3、管理人适当性意见：管理人适当性匹配意见栏已勾选并签章，适当性评估底稿归档；本函与02号协议先决条件的引用关系核对无误。</w:t>
      </w:r>
    </w:p>
    <w:p>
      <w:pPr>
        <w:spacing w:line="341" w:lineRule="auto" w:before="200" w:after="120"/>
      </w:pPr>
      <w:r>
        <w:rPr>
          <w:rFonts w:ascii="Times New Roman" w:hAnsi="Times New Roman" w:eastAsia="SimHei"/>
          <w:b/>
          <w:sz w:val="28"/>
        </w:rPr>
        <w:t>09号文件（基金份额受让尽职调查清单）</w:t>
      </w:r>
    </w:p>
    <w:p>
      <w:pPr>
        <w:spacing w:line="319" w:lineRule="auto" w:after="40"/>
        <w:jc w:val="both"/>
      </w:pPr>
      <w:r>
        <w:rPr>
          <w:rFonts w:ascii="Times New Roman" w:hAnsi="Times New Roman" w:eastAsia="SimSun"/>
          <w:b w:val="0"/>
          <w:sz w:val="24"/>
        </w:rPr>
        <w:t>1、轨道执行核对：GP轨受让的，清单第一部分负债、担保、或有负债与未决争议核查项必须全部完成，无法核实项应当已转化为转让协议的先决条件或者专项补偿条款，不得空置。</w:t>
      </w:r>
    </w:p>
    <w:p>
      <w:pPr>
        <w:spacing w:line="319" w:lineRule="auto" w:after="40"/>
        <w:jc w:val="both"/>
      </w:pPr>
      <w:r>
        <w:rPr>
          <w:rFonts w:ascii="Times New Roman" w:hAnsi="Times New Roman" w:eastAsia="SimSun"/>
          <w:b w:val="0"/>
          <w:sz w:val="24"/>
        </w:rPr>
        <w:t>2、核查结果栏无空白项；"无法核实"未被误标为"无异常"；重大发现均能对应到交易文件的具体条款。</w:t>
      </w:r>
    </w:p>
    <w:p>
      <w:pPr>
        <w:spacing w:line="319" w:lineRule="auto" w:after="40"/>
        <w:jc w:val="both"/>
      </w:pPr>
      <w:r>
        <w:rPr>
          <w:rFonts w:ascii="Times New Roman" w:hAnsi="Times New Roman" w:eastAsia="SimSun"/>
          <w:b w:val="0"/>
          <w:sz w:val="24"/>
        </w:rPr>
        <w:t>3、过渡期安排：核查基准日与交割日之间是否设置交割前补充核查或者【转让方】交割确认机制覆盖期间变化。</w:t>
      </w:r>
    </w:p>
    <w:p>
      <w:pPr>
        <w:spacing w:line="341" w:lineRule="auto" w:before="200" w:after="120"/>
      </w:pPr>
      <w:r>
        <w:rPr>
          <w:rFonts w:ascii="Times New Roman" w:hAnsi="Times New Roman" w:eastAsia="SimHei"/>
          <w:b/>
          <w:sz w:val="28"/>
        </w:rPr>
        <w:t>10号文件（变更私募基金管理人协议（四方））</w:t>
      </w:r>
    </w:p>
    <w:p>
      <w:pPr>
        <w:spacing w:line="319" w:lineRule="auto" w:after="40"/>
        <w:jc w:val="both"/>
      </w:pPr>
      <w:r>
        <w:rPr>
          <w:rFonts w:ascii="Times New Roman" w:hAnsi="Times New Roman" w:eastAsia="SimSun"/>
          <w:b w:val="0"/>
          <w:sz w:val="24"/>
        </w:rPr>
        <w:t>1、新管理人资格承诺核验：协议第二条各项承诺（持续经营能力、有正在管理的私募基金、专业化运营、不存在暂停备案情形——指引3号第五条）逐项取得证明材料，不得仅凭承诺推进。</w:t>
      </w:r>
    </w:p>
    <w:p>
      <w:pPr>
        <w:spacing w:line="319" w:lineRule="auto" w:after="40"/>
        <w:jc w:val="both"/>
      </w:pPr>
      <w:r>
        <w:rPr>
          <w:rFonts w:ascii="Times New Roman" w:hAnsi="Times New Roman" w:eastAsia="SimSun"/>
          <w:b w:val="0"/>
          <w:sz w:val="24"/>
        </w:rPr>
        <w:t>2、移交范围完整性：协议第三条及附件一《管理职责移交清单》覆盖登记备案电子系统账户、基金合同与合伙协议文本、投资者名册与适当性档案、投资档案、印章证照、财务账簿、募集监督账户资料等；缺项注明原因与补交期限，不得以概括表述带过。</w:t>
      </w:r>
    </w:p>
    <w:p>
      <w:pPr>
        <w:spacing w:line="319" w:lineRule="auto" w:after="40"/>
        <w:jc w:val="both"/>
      </w:pPr>
      <w:r>
        <w:rPr>
          <w:rFonts w:ascii="Times New Roman" w:hAnsi="Times New Roman" w:eastAsia="SimSun"/>
          <w:b w:val="0"/>
          <w:sz w:val="24"/>
        </w:rPr>
        <w:t>3、责任划界日期一致性：移交基准日（协议第三条）与11号决议确定的变更之日、12号委托管理协议生效日、14号指引时间表起算日采用同一口径；划界日前后的管理责任、费用归属表述清晰，无重叠亦无真空。</w:t>
      </w:r>
    </w:p>
    <w:p>
      <w:pPr>
        <w:spacing w:line="319" w:lineRule="auto" w:after="40"/>
        <w:jc w:val="both"/>
      </w:pPr>
      <w:r>
        <w:rPr>
          <w:rFonts w:ascii="Times New Roman" w:hAnsi="Times New Roman" w:eastAsia="SimSun"/>
          <w:b w:val="0"/>
          <w:sz w:val="24"/>
        </w:rPr>
        <w:t>4、不配合预案：【原管理人】拒绝签署或者不予配合的，按指引3号第七条评估由【新管理人】报送的路径，并核对公证或者专项法律意见书安排是否已同步启动。</w:t>
      </w:r>
    </w:p>
    <w:p>
      <w:pPr>
        <w:spacing w:line="341" w:lineRule="auto" w:before="200" w:after="120"/>
      </w:pPr>
      <w:r>
        <w:rPr>
          <w:rFonts w:ascii="Times New Roman" w:hAnsi="Times New Roman" w:eastAsia="SimHei"/>
          <w:b/>
          <w:sz w:val="28"/>
        </w:rPr>
        <w:t>11号文件（投资者会议决议——变更私募基金管理人）</w:t>
      </w:r>
    </w:p>
    <w:p>
      <w:pPr>
        <w:spacing w:line="319" w:lineRule="auto" w:after="40"/>
        <w:jc w:val="both"/>
      </w:pPr>
      <w:r>
        <w:rPr>
          <w:rFonts w:ascii="Times New Roman" w:hAnsi="Times New Roman" w:eastAsia="SimSun"/>
          <w:b w:val="0"/>
          <w:sz w:val="24"/>
        </w:rPr>
        <w:t>1、表决比例与基金合同约定比对：除法律另有规定或者基金合同另有约定外，变更管理人须经持有三分之二以上基金份额的投资者同意（指引3号第四条）；基金合同约定不同比例或者机制的从其约定；比例的分母口径（全体基金份额还是参与表决份额）按基金合同核对并在决议中写明。</w:t>
      </w:r>
    </w:p>
    <w:p>
      <w:pPr>
        <w:spacing w:line="319" w:lineRule="auto" w:after="40"/>
        <w:jc w:val="both"/>
      </w:pPr>
      <w:r>
        <w:rPr>
          <w:rFonts w:ascii="Times New Roman" w:hAnsi="Times New Roman" w:eastAsia="SimSun"/>
          <w:b w:val="0"/>
          <w:sz w:val="24"/>
        </w:rPr>
        <w:t>2、程序要素记载完整性：召集主体、通知发出与送达情况、表决方式、参与表决份额、同意份额及其占比、决议形成日期逐项记载；属于指引3号第七条所列由【新管理人】报送的特殊情形（原管理人依法解散注销、被注销或者撤销管理人登记、失联、决议后不予配合等）的，除全体投资者一致同意变更外，变更程序应当经公证机关公证或者由中国证监会备案的律师事务所出具专项法律意见书，且须对投资者会议召集及决议程序合规性发表明确结论性意见（指引3号第七条）。</w:t>
      </w:r>
    </w:p>
    <w:p>
      <w:pPr>
        <w:spacing w:line="319" w:lineRule="auto" w:after="40"/>
        <w:jc w:val="both"/>
      </w:pPr>
      <w:r>
        <w:rPr>
          <w:rFonts w:ascii="Times New Roman" w:hAnsi="Times New Roman" w:eastAsia="SimSun"/>
          <w:b w:val="0"/>
          <w:sz w:val="24"/>
        </w:rPr>
        <w:t>3、决议后通知与异议程序：经投资者会议变更或者解任管理人后，投资者应当及时通知【原管理人】（指引3号第四条），13号模板二《解除管理关系通知书》同步准备；向客户书面提示【原管理人】的异议程序——自收到通知后5个工作日内提交不同意变更的说明材料，并在20个工作日内提交人民法院受理案件通知书或者仲裁受理通知书的，协会中止办理，逾期未提交的恢复办理（指引3号第八条）。</w:t>
      </w:r>
    </w:p>
    <w:p>
      <w:pPr>
        <w:spacing w:line="319" w:lineRule="auto" w:after="40"/>
        <w:jc w:val="both"/>
      </w:pPr>
      <w:r>
        <w:rPr>
          <w:rFonts w:ascii="Times New Roman" w:hAnsi="Times New Roman" w:eastAsia="SimSun"/>
          <w:b w:val="0"/>
          <w:sz w:val="24"/>
        </w:rPr>
        <w:t>4、召集通知与决议一致性：基金合同应当约定变更管理人事项的决策机制、召集主体、表决方式、表决比例（《私募投资基金登记备案办法》第二十九条第（五）项、指引3号第四条），召集程序按基金合同执行并留存通知发出与送达凭证；通知载明的表决事项与决议记载一致。</w:t>
      </w:r>
    </w:p>
    <w:p>
      <w:pPr>
        <w:spacing w:line="319" w:lineRule="auto" w:after="40"/>
        <w:jc w:val="both"/>
      </w:pPr>
      <w:r>
        <w:rPr>
          <w:rFonts w:ascii="Times New Roman" w:hAnsi="Times New Roman" w:eastAsia="SimSun"/>
          <w:b w:val="0"/>
          <w:sz w:val="24"/>
        </w:rPr>
        <w:t>5、新管理人资格核验：【新管理人】应当具备持续经营能力，有正在管理的私募基金（与【原管理人】受同一实际控制人控制的除外），符合专业化运营原则（基于风险化解需要的除外），且不存在《私募投资基金登记备案办法》第四十二条规定的暂停办理备案情形（指引3号第五条）；逐项取得证明材料后再推进决议。</w:t>
      </w:r>
    </w:p>
    <w:p>
      <w:pPr>
        <w:spacing w:line="341" w:lineRule="auto" w:before="200" w:after="120"/>
      </w:pPr>
      <w:r>
        <w:rPr>
          <w:rFonts w:ascii="Times New Roman" w:hAnsi="Times New Roman" w:eastAsia="SimHei"/>
          <w:b/>
          <w:sz w:val="28"/>
        </w:rPr>
        <w:t>12号文件（委托管理协议）</w:t>
      </w:r>
    </w:p>
    <w:p>
      <w:pPr>
        <w:spacing w:line="319" w:lineRule="auto" w:after="40"/>
        <w:jc w:val="both"/>
      </w:pPr>
      <w:r>
        <w:rPr>
          <w:rFonts w:ascii="Times New Roman" w:hAnsi="Times New Roman" w:eastAsia="SimSun"/>
          <w:b w:val="0"/>
          <w:sz w:val="24"/>
        </w:rPr>
        <w:t>1、与合伙协议权限条款冲突核验：委托管理协议授予【新管理人】的投资决策、对外签署、费用列支、信息披露等权限，逐条与合伙协议中【执行事务合伙人】权限条款及有限合伙人保护性条款比对；冲突之处通过修改合伙协议或者在委托管理协议中作出让位安排解决，不得留存两套矛盾表述。</w:t>
      </w:r>
    </w:p>
    <w:p>
      <w:pPr>
        <w:spacing w:line="319" w:lineRule="auto" w:after="40"/>
        <w:jc w:val="both"/>
      </w:pPr>
      <w:r>
        <w:rPr>
          <w:rFonts w:ascii="Times New Roman" w:hAnsi="Times New Roman" w:eastAsia="SimSun"/>
          <w:b w:val="0"/>
          <w:sz w:val="24"/>
        </w:rPr>
        <w:t>2、签署主体：执行事务合伙人与管理人分离的合伙型基金，委托管理协议应当由【基金】、【执行事务合伙人】和【新管理人】共同签署（指引3号材料清单要求），缺任何一方签署将导致协会报送材料不完整。</w:t>
      </w:r>
    </w:p>
    <w:p>
      <w:pPr>
        <w:spacing w:line="319" w:lineRule="auto" w:after="40"/>
        <w:jc w:val="both"/>
      </w:pPr>
      <w:r>
        <w:rPr>
          <w:rFonts w:ascii="Times New Roman" w:hAnsi="Times New Roman" w:eastAsia="SimSun"/>
          <w:b w:val="0"/>
          <w:sz w:val="24"/>
        </w:rPr>
        <w:t>3、报酬口径：委托管理协议的管理费与业绩报酬条款与合伙协议、基金合同的约定一致，避免双重计费或者计算口径矛盾。</w:t>
      </w:r>
    </w:p>
    <w:p>
      <w:pPr>
        <w:spacing w:line="341" w:lineRule="auto" w:before="200" w:after="120"/>
      </w:pPr>
      <w:r>
        <w:rPr>
          <w:rFonts w:ascii="Times New Roman" w:hAnsi="Times New Roman" w:eastAsia="SimHei"/>
          <w:b/>
          <w:sz w:val="28"/>
        </w:rPr>
        <w:t>13号文件（变更管理人配套函件模板集）</w:t>
      </w:r>
    </w:p>
    <w:p>
      <w:pPr>
        <w:spacing w:line="319" w:lineRule="auto" w:after="40"/>
        <w:jc w:val="both"/>
      </w:pPr>
      <w:r>
        <w:rPr>
          <w:rFonts w:ascii="Times New Roman" w:hAnsi="Times New Roman" w:eastAsia="SimSun"/>
          <w:b w:val="0"/>
          <w:sz w:val="24"/>
        </w:rPr>
        <w:t>1、模板一托管人意见函：托管人对变更管理人事项的意见表述明确（同意或者不同意及理由，指引3号第六条），加盖托管人签章，模糊表述会被要求补正。</w:t>
      </w:r>
    </w:p>
    <w:p>
      <w:pPr>
        <w:spacing w:line="319" w:lineRule="auto" w:after="40"/>
        <w:jc w:val="both"/>
      </w:pPr>
      <w:r>
        <w:rPr>
          <w:rFonts w:ascii="Times New Roman" w:hAnsi="Times New Roman" w:eastAsia="SimSun"/>
          <w:b w:val="0"/>
          <w:sz w:val="24"/>
        </w:rPr>
        <w:t>2、模板二解除管理关系通知书的通知主体与依据：由投资者或者决议授权的主体向【原管理人】发出；函中援引的投资者会议决议名称、形成日期与11号文件一致。</w:t>
      </w:r>
    </w:p>
    <w:p>
      <w:pPr>
        <w:spacing w:line="319" w:lineRule="auto" w:after="40"/>
        <w:jc w:val="both"/>
      </w:pPr>
      <w:r>
        <w:rPr>
          <w:rFonts w:ascii="Times New Roman" w:hAnsi="Times New Roman" w:eastAsia="SimSun"/>
          <w:b w:val="0"/>
          <w:sz w:val="24"/>
        </w:rPr>
        <w:t>3、送达留痕即备案材料：经投资者会议解任或者更换管理人的，投资者通知【原管理人】解除管理关系的证明文件属于协会变更手续的报送材料（指引3号材料清单要求），快递底单、电子送达记录等送达凭证必须原件归档。</w:t>
      </w:r>
    </w:p>
    <w:p>
      <w:pPr>
        <w:spacing w:line="319" w:lineRule="auto" w:after="40"/>
        <w:jc w:val="both"/>
      </w:pPr>
      <w:r>
        <w:rPr>
          <w:rFonts w:ascii="Times New Roman" w:hAnsi="Times New Roman" w:eastAsia="SimSun"/>
          <w:b w:val="0"/>
          <w:sz w:val="24"/>
        </w:rPr>
        <w:t>4、异议程序提示：函件载明【原管理人】自收到通知后5个工作日内可提交不同意变更的说明材料、并在20个工作日内提交人民法院受理案件通知书或者仲裁受理通知书的程序后果（指引3号第八条），压缩事后程序争议空间。</w:t>
      </w:r>
    </w:p>
    <w:p>
      <w:pPr>
        <w:spacing w:line="319" w:lineRule="auto" w:after="40"/>
        <w:jc w:val="both"/>
      </w:pPr>
      <w:r>
        <w:rPr>
          <w:rFonts w:ascii="Times New Roman" w:hAnsi="Times New Roman" w:eastAsia="SimSun"/>
          <w:b w:val="0"/>
          <w:sz w:val="24"/>
        </w:rPr>
        <w:t>5、模板三投资者告知函：变更进展、时间表与影响披露充分；管理人的控股股东、实际控制人、普通合伙人发生变更尚未在协会完成变更手续的，特别提示已载明（《私募投资基金登记备案办法》第二十八条第二款第（八）项）。</w:t>
      </w:r>
    </w:p>
    <w:p>
      <w:pPr>
        <w:spacing w:line="341" w:lineRule="auto" w:before="200" w:after="120"/>
      </w:pPr>
      <w:r>
        <w:rPr>
          <w:rFonts w:ascii="Times New Roman" w:hAnsi="Times New Roman" w:eastAsia="SimHei"/>
          <w:b/>
          <w:sz w:val="28"/>
        </w:rPr>
        <w:t>14号文件（中基协变更备案与工商登记办理指引）</w:t>
      </w:r>
    </w:p>
    <w:p>
      <w:pPr>
        <w:spacing w:line="319" w:lineRule="auto" w:after="40"/>
        <w:jc w:val="both"/>
      </w:pPr>
      <w:r>
        <w:rPr>
          <w:rFonts w:ascii="Times New Roman" w:hAnsi="Times New Roman" w:eastAsia="SimSun"/>
          <w:b w:val="0"/>
          <w:sz w:val="24"/>
        </w:rPr>
        <w:t>1、起算点与顺序的时限倒排是否可行：工商变更登记应当自作出变更决议、决定或者法定变更事项发生之日起30日内申请（《市场主体登记管理条例》第二十四条）；协会变更手续自变更之日起10个工作日内办理（基金层面信息变更适用《私募投资基金登记备案办法》第五十五条；管理人自身登记信息变更适用第四十七条）；"变更之日"按指引2号第三十五条第（七）项确定——需办理市场主体变更登记的指市场主体变更登记之日，无需办理的指相关协议或者决议生效之日；两段期限系先后衔接而非并行，倒排表不得压缩为同步办理。</w:t>
      </w:r>
    </w:p>
    <w:p>
      <w:pPr>
        <w:spacing w:line="319" w:lineRule="auto" w:after="40"/>
        <w:jc w:val="both"/>
      </w:pPr>
      <w:r>
        <w:rPr>
          <w:rFonts w:ascii="Times New Roman" w:hAnsi="Times New Roman" w:eastAsia="SimSun"/>
          <w:b w:val="0"/>
          <w:sz w:val="24"/>
        </w:rPr>
        <w:t>2、报送内容与通道：发生《私募投资基金登记备案办法》第五十五条信息变更的，10个工作日内报送变更决议文件、变更事项说明函及相应变更材料（指引2号第二十七条）；变更管理人的，由【原管理人】自变更之日起10个工作日内经登记备案电子系统报送并经【新管理人】系统内确认（指引3号第六条）；核对表中各节点的报送责任人栏与上述规则对应。</w:t>
      </w:r>
    </w:p>
    <w:p>
      <w:pPr>
        <w:spacing w:line="319" w:lineRule="auto" w:after="40"/>
        <w:jc w:val="both"/>
      </w:pPr>
      <w:r>
        <w:rPr>
          <w:rFonts w:ascii="Times New Roman" w:hAnsi="Times New Roman" w:eastAsia="SimSun"/>
          <w:b w:val="0"/>
          <w:sz w:val="24"/>
        </w:rPr>
        <w:t>3、轨道区分：涉及管理人的控股股东、实际控制人、普通合伙人变更的，适用30个工作日期限并提交专项法律意见书（《私募投资基金登记备案办法》第四十八条）；实际控制权变更的，另核变更之日前12个月管理规模持续不低于3000万元的条件；该轨道与第四十七条10个工作日轨道分列，不得混用。</w:t>
      </w:r>
    </w:p>
    <w:p>
      <w:pPr>
        <w:spacing w:line="319" w:lineRule="auto" w:after="40"/>
        <w:jc w:val="both"/>
      </w:pPr>
      <w:r>
        <w:rPr>
          <w:rFonts w:ascii="Times New Roman" w:hAnsi="Times New Roman" w:eastAsia="SimSun"/>
          <w:b w:val="0"/>
          <w:sz w:val="24"/>
        </w:rPr>
        <w:t>4、收尾节点：完成管理人变更后，【新管理人】应当及时向其注册地证监局报告（指引3号第十五条第二款）；核对该节点已列入倒排表末端并指定责任人。</w:t>
      </w:r>
    </w:p>
    <w:p>
      <w:pPr>
        <w:spacing w:line="341" w:lineRule="auto" w:before="200" w:after="120"/>
      </w:pPr>
      <w:r>
        <w:rPr>
          <w:rFonts w:ascii="Times New Roman" w:hAnsi="Times New Roman" w:eastAsia="SimHei"/>
          <w:b/>
          <w:sz w:val="28"/>
        </w:rPr>
        <w:t>第二部分　横向核验维度</w:t>
      </w:r>
    </w:p>
    <w:p>
      <w:pPr>
        <w:spacing w:line="341" w:lineRule="auto" w:before="200" w:after="120"/>
      </w:pPr>
      <w:r>
        <w:rPr>
          <w:rFonts w:ascii="Times New Roman" w:hAnsi="Times New Roman" w:eastAsia="SimHei"/>
          <w:b/>
          <w:sz w:val="28"/>
        </w:rPr>
        <w:t>维度一　合伙协议优先</w:t>
      </w:r>
    </w:p>
    <w:p>
      <w:pPr>
        <w:spacing w:line="319" w:lineRule="auto" w:after="40"/>
        <w:jc w:val="both"/>
      </w:pPr>
      <w:r>
        <w:rPr>
          <w:rFonts w:ascii="Times New Roman" w:hAnsi="Times New Roman" w:eastAsia="SimSun"/>
          <w:b w:val="0"/>
          <w:sz w:val="24"/>
        </w:rPr>
        <w:t>本包依据《合伙企业法》默认规则起草的条款——对外转让经其他合伙人一致同意（第二十二条）、同等条件下其他合伙人优先购买权（第二十三条）、修改或者补充合伙协议经全体合伙人一致同意（第十九条第二款）、新合伙人入伙经全体合伙人一致同意（第四十三条）、普通合伙人与有限合伙人相互转变经全体合伙人一致同意（第八十二条）——均属"合伙协议另有约定的除外"的任意性规范。复核的第一动作是通读标的【基金】合伙协议及全部修正案，将每一处"另有约定"逐条标注，再据此改写本包文本的对应条款；顺序不能颠倒，不得先签文本再对照协议。</w:t>
      </w:r>
    </w:p>
    <w:p>
      <w:pPr>
        <w:spacing w:line="341" w:lineRule="auto" w:before="200" w:after="120"/>
      </w:pPr>
      <w:r>
        <w:rPr>
          <w:rFonts w:ascii="Times New Roman" w:hAnsi="Times New Roman" w:eastAsia="SimHei"/>
          <w:b/>
          <w:sz w:val="28"/>
        </w:rPr>
        <w:t>维度二　两套同意叠加</w:t>
      </w:r>
    </w:p>
    <w:p>
      <w:pPr>
        <w:spacing w:line="319" w:lineRule="auto" w:after="40"/>
        <w:jc w:val="both"/>
      </w:pPr>
      <w:r>
        <w:rPr>
          <w:rFonts w:ascii="Times New Roman" w:hAnsi="Times New Roman" w:eastAsia="SimSun"/>
          <w:b w:val="0"/>
          <w:sz w:val="24"/>
        </w:rPr>
        <w:t>份额转让的合伙法同意（《合伙企业法》第二十二条、第十九条第二款、第二十四条，合伙协议约定优先）与变更管理人的投资者会议同意（指引3号第四条，除法律另有规定或者合同另有约定外须经持有三分之二以上基金份额的投资者同意）是两道相互独立的程序，叠加而不替代：同一批主体在03号文件上签章不等于完成了11号决议，反之亦然。凡GP份额转让伴随管理人变更的交易，两套同意文件必须分别形成、分别归档，缺任何一套即构成程序瑕疵，并可能同时影响转让效力与协会变更手续办理。</w:t>
      </w:r>
    </w:p>
    <w:p>
      <w:pPr>
        <w:spacing w:line="341" w:lineRule="auto" w:before="200" w:after="120"/>
      </w:pPr>
      <w:r>
        <w:rPr>
          <w:rFonts w:ascii="Times New Roman" w:hAnsi="Times New Roman" w:eastAsia="SimHei"/>
          <w:b/>
          <w:sz w:val="28"/>
        </w:rPr>
        <w:t>维度三　顺序铁律</w:t>
      </w:r>
    </w:p>
    <w:p>
      <w:pPr>
        <w:spacing w:line="319" w:lineRule="auto" w:after="40"/>
        <w:jc w:val="both"/>
      </w:pPr>
      <w:r>
        <w:rPr>
          <w:rFonts w:ascii="Times New Roman" w:hAnsi="Times New Roman" w:eastAsia="SimSun"/>
          <w:b w:val="0"/>
          <w:sz w:val="24"/>
        </w:rPr>
        <w:t>内部决议签署、工商变更登记、协会变更手续三步的先后不可打乱：工商变更登记自作出变更决议、决定或者法定变更事项发生之日起30日内申请（《市场主体登记管理条例》第二十四条）；协会变更手续自变更之日起10个工作日内办理（基金层面信息变更适用《私募投资基金登记备案办法》第五十五条；管理人自身登记信息变更适用第四十七条），而需办理市场主体变更登记事项的"变更之日"即市场主体变更登记之日（指引2号第三十五条第（七）项），故协会期限在工商变更登记完成后方才起算，时间表中两段期限不得并行计算。登记备案信息变更未按规定及时履行变更手续且存在未及时改正等严重情形的，协会将暂停办理其私募基金备案（《私募投资基金登记备案办法》第四十二条第（六）项），该后果应当向管理人一方书面提示。</w:t>
      </w:r>
    </w:p>
    <w:p>
      <w:pPr>
        <w:spacing w:line="341" w:lineRule="auto" w:before="200" w:after="120"/>
      </w:pPr>
      <w:r>
        <w:rPr>
          <w:rFonts w:ascii="Times New Roman" w:hAnsi="Times New Roman" w:eastAsia="SimHei"/>
          <w:b/>
          <w:sz w:val="28"/>
        </w:rPr>
        <w:t>维度四　责任分轨</w:t>
      </w:r>
    </w:p>
    <w:p>
      <w:pPr>
        <w:spacing w:line="319" w:lineRule="auto" w:after="40"/>
        <w:jc w:val="both"/>
      </w:pPr>
      <w:r>
        <w:rPr>
          <w:rFonts w:ascii="Times New Roman" w:hAnsi="Times New Roman" w:eastAsia="SimSun"/>
          <w:b w:val="0"/>
          <w:sz w:val="24"/>
        </w:rPr>
        <w:t>GP轨与LP轨的责任条款绝不错套：GP轨【受让方】对入伙前【基金】债务承担无限连带责任（《合伙企业法》第四十四条），GP轨【转让方】对基于其退伙前的原因发生的债务承担无限连带责任（第五十三条），普通合伙人转变为有限合伙人的，对其作为普通合伙人期间合伙企业发生的债务仍承担无限连带责任（第八十四条）；LP轨【受让方】对入伙前债务以认缴出资额为限（第七十七条），LP轨退出方以退伙时取回的财产为限（第八十一条）。复核方法是对全套文件通篇检索"无限连带"与"以认缴出资额为限"两组表述，确认各自仅出现在对应轨道的文件中；同时向当事人书面提示：转让协议中的免责与补偿约定仅在协议当事人内部有效，不能对抗【基金】的债权人。</w:t>
      </w:r>
    </w:p>
    <w:p>
      <w:pPr>
        <w:spacing w:line="341" w:lineRule="auto" w:before="200" w:after="120"/>
      </w:pPr>
      <w:r>
        <w:rPr>
          <w:rFonts w:ascii="Times New Roman" w:hAnsi="Times New Roman" w:eastAsia="SimHei"/>
          <w:b/>
          <w:sz w:val="28"/>
        </w:rPr>
        <w:t>维度五　合格投资者与反拆分</w:t>
      </w:r>
    </w:p>
    <w:p>
      <w:pPr>
        <w:spacing w:line="319" w:lineRule="auto" w:after="40"/>
        <w:jc w:val="both"/>
      </w:pPr>
      <w:r>
        <w:rPr>
          <w:rFonts w:ascii="Times New Roman" w:hAnsi="Times New Roman" w:eastAsia="SimSun"/>
          <w:b w:val="0"/>
          <w:sz w:val="24"/>
        </w:rPr>
        <w:t>私募基金应当向合格投资者募集或者转让，不得将基金份额或者其收益权拆分转让、降低合格投资者标准（《私募投资基金监督管理条例》第十八条），受让环节与募集环节同等适用。复核【受让方】适当性材料是否达标，排查化整为零、多方拼单受让、收益权与份额分离转让等变相拆分安排；同时注意私募股权基金备案完成后投资者不得赎回或者退出，但进行基金份额转让等情形不属于赎回或者退出（《私募投资基金登记备案办法》第三十五条），交易文件中不得将本次转让表述为赎回或者退出，避免定性混乱。</w:t>
      </w:r>
    </w:p>
    <w:p>
      <w:pPr>
        <w:spacing w:line="341" w:lineRule="auto" w:before="200" w:after="120"/>
      </w:pPr>
      <w:r>
        <w:rPr>
          <w:rFonts w:ascii="Times New Roman" w:hAnsi="Times New Roman" w:eastAsia="SimHei"/>
          <w:b/>
          <w:sz w:val="28"/>
        </w:rPr>
        <w:t>维度六　条件闸</w:t>
      </w:r>
    </w:p>
    <w:p>
      <w:pPr>
        <w:spacing w:line="319" w:lineRule="auto" w:after="40"/>
        <w:jc w:val="both"/>
      </w:pPr>
      <w:r>
        <w:rPr>
          <w:rFonts w:ascii="Times New Roman" w:hAnsi="Times New Roman" w:eastAsia="SimSun"/>
          <w:b w:val="0"/>
          <w:sz w:val="24"/>
        </w:rPr>
        <w:t>三道条件性程序命中任何一道即为交易前置，未完成不得签署交割：其一，国资进场——【转让方】涉国有主体的，产权转让原则上通过产权市场公开进行，正式披露信息时间不得少于20个工作日（《企业国有资产交易监督管理办法》第十三条），符合该办法第三十一条规定情形的方可采取非公开协议转让方式，路径选择的批准文件必须留存归档；其二，外资准入——【受让方】为外商投资主体的，核对外商投资准入要求与信息报告义务；其三，税务测算——转让价款的税负承担、代扣代缴与完税凭证安排应当在定价谈判前完成测算，避免税负分担条款与实际征管口径冲突导致交割后争议。</w:t>
      </w:r>
    </w:p>
    <w:p>
      <w:pPr>
        <w:spacing w:line="341" w:lineRule="auto" w:before="200" w:after="120"/>
      </w:pPr>
      <w:r>
        <w:rPr>
          <w:rFonts w:ascii="Times New Roman" w:hAnsi="Times New Roman" w:eastAsia="SimHei"/>
          <w:b/>
          <w:sz w:val="28"/>
        </w:rPr>
        <w:t>维度七　结构安全</w:t>
      </w:r>
    </w:p>
    <w:p>
      <w:pPr>
        <w:spacing w:line="319" w:lineRule="auto" w:after="40"/>
        <w:jc w:val="both"/>
      </w:pPr>
      <w:r>
        <w:rPr>
          <w:rFonts w:ascii="Times New Roman" w:hAnsi="Times New Roman" w:eastAsia="SimSun"/>
          <w:b w:val="0"/>
          <w:sz w:val="24"/>
        </w:rPr>
        <w:t>有限合伙企业至少应当有一个普通合伙人（《合伙企业法》第六十一条第二款），有限合伙企业仅剩有限合伙人的应当解散（第七十五条）。唯一普通合伙人退出的交易，必须先落实继任普通合伙人，签署与生效时点安排上不得出现【基金】在任何时点没有普通合伙人的空档；涉及【执行事务合伙人】变更的，委派代表文件（《合伙企业法》第二十六条第三款）与工商变更登记同步处理，并核对协会备案信息同步更新（《私募投资基金登记备案办法》第五十五条）；管理人的普通合伙人、执行事务合伙人或者委派代表等重大事项变更的，另按《私募投资基金监督管理条例》第十条第二款向登记备案机构履行变更登记手续。</w:t>
      </w:r>
    </w:p>
    <w:p>
      <w:pPr>
        <w:spacing w:line="341" w:lineRule="auto" w:before="200" w:after="120"/>
      </w:pPr>
      <w:r>
        <w:rPr>
          <w:rFonts w:ascii="Times New Roman" w:hAnsi="Times New Roman" w:eastAsia="SimHei"/>
          <w:b/>
          <w:sz w:val="28"/>
        </w:rPr>
        <w:t>第三部分　建议的签署与归档顺序</w:t>
      </w:r>
    </w:p>
    <w:p>
      <w:pPr>
        <w:spacing w:line="319" w:lineRule="auto" w:after="40"/>
        <w:jc w:val="both"/>
      </w:pPr>
      <w:r>
        <w:rPr>
          <w:rFonts w:ascii="Times New Roman" w:hAnsi="Times New Roman" w:eastAsia="SimSun"/>
          <w:b w:val="0"/>
          <w:sz w:val="24"/>
        </w:rPr>
        <w:t>建议按以下顺序推进签署并同步归档，每一步完成并留存凭证后再启动下一步：</w:t>
      </w:r>
    </w:p>
    <w:p>
      <w:pPr>
        <w:spacing w:line="319" w:lineRule="auto" w:after="40"/>
        <w:jc w:val="both"/>
      </w:pPr>
      <w:r>
        <w:rPr>
          <w:rFonts w:ascii="Times New Roman" w:hAnsi="Times New Roman" w:eastAsia="SimSun"/>
          <w:b w:val="0"/>
          <w:sz w:val="24"/>
        </w:rPr>
        <w:t>（一）尽职调查先行：完成09号清单并形成核查记录，重大发现落实为协议条款后，方启动签署程序；</w:t>
      </w:r>
    </w:p>
    <w:p>
      <w:pPr>
        <w:spacing w:line="319" w:lineRule="auto" w:after="40"/>
        <w:jc w:val="both"/>
      </w:pPr>
      <w:r>
        <w:rPr>
          <w:rFonts w:ascii="Times New Roman" w:hAnsi="Times New Roman" w:eastAsia="SimSun"/>
          <w:b w:val="0"/>
          <w:sz w:val="24"/>
        </w:rPr>
        <w:t>（二）内部同意层：发出04号通知函（LP轨自通知后满三十日）、形成03号全体合伙人决定书；涉及管理人变更的，按基金合同约定程序发出投资者会议通知、形成11号投资者会议决议、发出13号模板二《解除管理关系通知书》并留存送达凭证；预判可能出现指引3号第七条所列特殊情形（原管理人依法解散注销、被注销或者撤销管理人登记、失联、决议后不予配合等）且非全体投资者一致同意的，同步安排公证或者专项法律意见书；</w:t>
      </w:r>
    </w:p>
    <w:p>
      <w:pPr>
        <w:spacing w:line="319" w:lineRule="auto" w:after="40"/>
        <w:jc w:val="both"/>
      </w:pPr>
      <w:r>
        <w:rPr>
          <w:rFonts w:ascii="Times New Roman" w:hAnsi="Times New Roman" w:eastAsia="SimSun"/>
          <w:b w:val="0"/>
          <w:sz w:val="24"/>
        </w:rPr>
        <w:t>（三）交易文件层：01号或者02号转让协议与05号入伙协议同日签署，06号合伙协议修正案同日或者随后签署，涉及【执行事务合伙人】变更的，通过03号决定书第（五）项及06号修正案落实，并同步形成委派代表文件；12号委托管理协议在【新管理人】确定后、协会报送前签署完毕；</w:t>
      </w:r>
    </w:p>
    <w:p>
      <w:pPr>
        <w:spacing w:line="319" w:lineRule="auto" w:after="40"/>
        <w:jc w:val="both"/>
      </w:pPr>
      <w:r>
        <w:rPr>
          <w:rFonts w:ascii="Times New Roman" w:hAnsi="Times New Roman" w:eastAsia="SimSun"/>
          <w:b w:val="0"/>
          <w:sz w:val="24"/>
        </w:rPr>
        <w:t>（四）登记备案层：凭03号、06号文件在30日内申请工商变更登记；工商变更登记完成后，自变更之日起10个工作日内办理协会变更手续；10号协议附件一《管理职责移交清单》围绕移交基准日完成交接签认；14号时间表贯穿全程逐项销项，管理人变更完成后由【新管理人】向其注册地证监局报告；</w:t>
      </w:r>
    </w:p>
    <w:p>
      <w:pPr>
        <w:spacing w:line="319" w:lineRule="auto" w:after="40"/>
        <w:jc w:val="both"/>
      </w:pPr>
      <w:r>
        <w:rPr>
          <w:rFonts w:ascii="Times New Roman" w:hAnsi="Times New Roman" w:eastAsia="SimSun"/>
          <w:b w:val="0"/>
          <w:sz w:val="24"/>
        </w:rPr>
        <w:t>（五）归档：全部文件按通知与送达凭证、决议与同意文件、交易协议、登记备案回执、移交记录五类归档，逐份记录签署日期与送达日期，形成可追溯的程序证据链；归档保存期限与合伙协议约定的档案条款衔接，建议覆盖至【基金】清算完成后的合理期间。</w:t>
      </w:r>
    </w:p>
    <w:p>
      <w:pPr>
        <w:spacing w:line="319" w:lineRule="auto" w:after="40"/>
        <w:jc w:val="both"/>
      </w:pPr>
      <w:r>
        <w:rPr>
          <w:rFonts w:ascii="Times New Roman" w:hAnsi="Times New Roman" w:eastAsia="SimSun"/>
          <w:b w:val="0"/>
          <w:sz w:val="24"/>
        </w:rPr>
        <w:t>复核律师：【●】</w:t>
      </w:r>
    </w:p>
    <w:p>
      <w:pPr>
        <w:spacing w:line="319" w:lineRule="auto" w:after="40"/>
        <w:jc w:val="both"/>
      </w:pPr>
      <w:r>
        <w:rPr>
          <w:rFonts w:ascii="Times New Roman" w:hAnsi="Times New Roman" w:eastAsia="SimSun"/>
          <w:b w:val="0"/>
          <w:sz w:val="24"/>
        </w:rPr>
        <w:t>复核日期：【●】年【●】月【●】日</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15_律师复核提示</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