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中基协变更备案与工商登记办理指引</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适用场景与用法——本指引配套本文书包各份额转让协议、决议及函件使用，供办理基金份额转让及管理人变更后续的市场主体变更登记与中国证券投资基金业协会（以下简称协会）变更手续时，按先判路由、再排顺序、后备材料三步使用。本指引中简称：《登记备案办法》指《私募投资基金登记备案办法》（中基协发〔2023〕5号）；《指引2号》指《私募投资基金备案指引第2号——私募股权、创业投资基金》（中基协发〔2023〕21号）；《指引3号》指《私募投资基金备案指引第3号——私募投资基金变更管理人》（2025年修订，中基协发〔2025〕14号）；《32号令》指《企业国有资产交易监督管理办法》（国资委、财政部令第32号）。顺序铁律：内部决议与文件签署在先，市场主体变更登记居中（自作出变更决议之日起30日内），协会变更手续在后（自变更之日起10个工作日内；需办理市场主体变更登记的，变更之日指市场主体变更登记之日）。协会登记备案电子系统的材料模板与审核口径动态调整，报送前应以系统内最新要求与模板为准。】</w:t>
      </w:r>
    </w:p>
    <w:p>
      <w:pPr>
        <w:spacing w:line="341" w:lineRule="auto" w:before="200" w:after="120"/>
      </w:pPr>
      <w:r>
        <w:rPr>
          <w:rFonts w:ascii="Times New Roman" w:hAnsi="Times New Roman" w:eastAsia="SimHei"/>
          <w:b/>
          <w:sz w:val="28"/>
        </w:rPr>
        <w:t>第一部分　路由判断表</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情形</w:t>
            </w:r>
          </w:p>
        </w:tc>
        <w:tc>
          <w:tcPr>
            <w:tcW w:type="dxa" w:w="2340"/>
          </w:tcPr>
          <w:p>
            <w:pPr>
              <w:spacing w:line="288" w:lineRule="auto"/>
            </w:pPr>
            <w:r/>
            <w:r>
              <w:rPr>
                <w:rFonts w:ascii="Times New Roman" w:hAnsi="Times New Roman" w:eastAsia="SimHei"/>
                <w:b/>
                <w:sz w:val="21"/>
              </w:rPr>
              <w:t>适用规则</w:t>
            </w:r>
          </w:p>
        </w:tc>
        <w:tc>
          <w:tcPr>
            <w:tcW w:type="dxa" w:w="2340"/>
          </w:tcPr>
          <w:p>
            <w:pPr>
              <w:spacing w:line="288" w:lineRule="auto"/>
            </w:pPr>
            <w:r/>
            <w:r>
              <w:rPr>
                <w:rFonts w:ascii="Times New Roman" w:hAnsi="Times New Roman" w:eastAsia="SimHei"/>
                <w:b/>
                <w:sz w:val="21"/>
              </w:rPr>
              <w:t>办理线路</w:t>
            </w:r>
          </w:p>
        </w:tc>
        <w:tc>
          <w:tcPr>
            <w:tcW w:type="dxa" w:w="2340"/>
          </w:tcPr>
          <w:p>
            <w:pPr>
              <w:spacing w:line="288" w:lineRule="auto"/>
            </w:pPr>
            <w:r/>
            <w:r>
              <w:rPr>
                <w:rFonts w:ascii="Times New Roman" w:hAnsi="Times New Roman" w:eastAsia="SimHei"/>
                <w:b/>
                <w:sz w:val="21"/>
              </w:rPr>
              <w:t>时限</w:t>
            </w:r>
          </w:p>
        </w:tc>
      </w:tr>
      <w:tr>
        <w:tc>
          <w:tcPr>
            <w:tcW w:type="dxa" w:w="2340"/>
          </w:tcPr>
          <w:p>
            <w:pPr>
              <w:spacing w:line="288" w:lineRule="auto"/>
            </w:pPr>
            <w:r/>
            <w:r>
              <w:rPr>
                <w:rFonts w:ascii="Times New Roman" w:hAnsi="Times New Roman" w:eastAsia="SimSun"/>
                <w:b w:val="0"/>
                <w:sz w:val="21"/>
              </w:rPr>
              <w:t>变更私募基金管理人（含经投资者会议决议解任或更换管理人）</w:t>
            </w:r>
          </w:p>
        </w:tc>
        <w:tc>
          <w:tcPr>
            <w:tcW w:type="dxa" w:w="2340"/>
          </w:tcPr>
          <w:p>
            <w:pPr>
              <w:spacing w:line="288" w:lineRule="auto"/>
            </w:pPr>
            <w:r/>
            <w:r>
              <w:rPr>
                <w:rFonts w:ascii="Times New Roman" w:hAnsi="Times New Roman" w:eastAsia="SimSun"/>
                <w:b w:val="0"/>
                <w:sz w:val="21"/>
              </w:rPr>
              <w:t>《指引3号》第四条、第六条、第七条</w:t>
            </w:r>
          </w:p>
        </w:tc>
        <w:tc>
          <w:tcPr>
            <w:tcW w:type="dxa" w:w="2340"/>
          </w:tcPr>
          <w:p>
            <w:pPr>
              <w:spacing w:line="288" w:lineRule="auto"/>
            </w:pPr>
            <w:r/>
            <w:r>
              <w:rPr>
                <w:rFonts w:ascii="Times New Roman" w:hAnsi="Times New Roman" w:eastAsia="SimSun"/>
                <w:b w:val="0"/>
                <w:sz w:val="21"/>
              </w:rPr>
              <w:t>【原管理人】经登记备案电子系统报送、【新管理人】在系统内确认；【原管理人】依法解散注销、被注销撤销管理人登记、失联、决议后不予配合等特殊情形的，由【新管理人】报送</w:t>
            </w:r>
          </w:p>
        </w:tc>
        <w:tc>
          <w:tcPr>
            <w:tcW w:type="dxa" w:w="2340"/>
          </w:tcPr>
          <w:p>
            <w:pPr>
              <w:spacing w:line="288" w:lineRule="auto"/>
            </w:pPr>
            <w:r/>
            <w:r>
              <w:rPr>
                <w:rFonts w:ascii="Times New Roman" w:hAnsi="Times New Roman" w:eastAsia="SimSun"/>
                <w:b w:val="0"/>
                <w:sz w:val="21"/>
              </w:rPr>
              <w:t>自变更之日起10个工作日内</w:t>
            </w:r>
          </w:p>
        </w:tc>
      </w:tr>
      <w:tr>
        <w:tc>
          <w:tcPr>
            <w:tcW w:type="dxa" w:w="2340"/>
          </w:tcPr>
          <w:p>
            <w:pPr>
              <w:spacing w:line="288" w:lineRule="auto"/>
            </w:pPr>
            <w:r/>
            <w:r>
              <w:rPr>
                <w:rFonts w:ascii="Times New Roman" w:hAnsi="Times New Roman" w:eastAsia="SimSun"/>
                <w:b w:val="0"/>
                <w:sz w:val="21"/>
              </w:rPr>
              <w:t>不变更管理人，基金层面发生普通合伙人、执行事务合伙人、有限合伙人变更等影响基金运行和投资者利益的重大信息变更</w:t>
            </w:r>
          </w:p>
        </w:tc>
        <w:tc>
          <w:tcPr>
            <w:tcW w:type="dxa" w:w="2340"/>
          </w:tcPr>
          <w:p>
            <w:pPr>
              <w:spacing w:line="288" w:lineRule="auto"/>
            </w:pPr>
            <w:r/>
            <w:r>
              <w:rPr>
                <w:rFonts w:ascii="Times New Roman" w:hAnsi="Times New Roman" w:eastAsia="SimSun"/>
                <w:b w:val="0"/>
                <w:sz w:val="21"/>
              </w:rPr>
              <w:t>《登记备案办法》第五十五条；《指引2号》第二十七条</w:t>
            </w:r>
          </w:p>
        </w:tc>
        <w:tc>
          <w:tcPr>
            <w:tcW w:type="dxa" w:w="2340"/>
          </w:tcPr>
          <w:p>
            <w:pPr>
              <w:spacing w:line="288" w:lineRule="auto"/>
            </w:pPr>
            <w:r/>
            <w:r>
              <w:rPr>
                <w:rFonts w:ascii="Times New Roman" w:hAnsi="Times New Roman" w:eastAsia="SimSun"/>
                <w:b w:val="0"/>
                <w:sz w:val="21"/>
              </w:rPr>
              <w:t>由管理人报送变更决议文件、变更事项说明函及相应变更材料</w:t>
            </w:r>
          </w:p>
        </w:tc>
        <w:tc>
          <w:tcPr>
            <w:tcW w:type="dxa" w:w="2340"/>
          </w:tcPr>
          <w:p>
            <w:pPr>
              <w:spacing w:line="288" w:lineRule="auto"/>
            </w:pPr>
            <w:r/>
            <w:r>
              <w:rPr>
                <w:rFonts w:ascii="Times New Roman" w:hAnsi="Times New Roman" w:eastAsia="SimSun"/>
                <w:b w:val="0"/>
                <w:sz w:val="21"/>
              </w:rPr>
              <w:t>自变更之日起10个工作日内</w:t>
            </w:r>
          </w:p>
        </w:tc>
      </w:tr>
      <w:tr>
        <w:tc>
          <w:tcPr>
            <w:tcW w:type="dxa" w:w="2340"/>
          </w:tcPr>
          <w:p>
            <w:pPr>
              <w:spacing w:line="288" w:lineRule="auto"/>
            </w:pPr>
            <w:r/>
            <w:r>
              <w:rPr>
                <w:rFonts w:ascii="Times New Roman" w:hAnsi="Times New Roman" w:eastAsia="SimSun"/>
                <w:b w:val="0"/>
                <w:sz w:val="21"/>
              </w:rPr>
              <w:t>管理人自身登记信息变更（管理人名称、股东合伙人、法定代表人、执行事务合伙人或其委派代表等）</w:t>
            </w:r>
          </w:p>
        </w:tc>
        <w:tc>
          <w:tcPr>
            <w:tcW w:type="dxa" w:w="2340"/>
          </w:tcPr>
          <w:p>
            <w:pPr>
              <w:spacing w:line="288" w:lineRule="auto"/>
            </w:pPr>
            <w:r/>
            <w:r>
              <w:rPr>
                <w:rFonts w:ascii="Times New Roman" w:hAnsi="Times New Roman" w:eastAsia="SimSun"/>
                <w:b w:val="0"/>
                <w:sz w:val="21"/>
              </w:rPr>
              <w:t>《登记备案办法》第四十七条</w:t>
            </w:r>
          </w:p>
        </w:tc>
        <w:tc>
          <w:tcPr>
            <w:tcW w:type="dxa" w:w="2340"/>
          </w:tcPr>
          <w:p>
            <w:pPr>
              <w:spacing w:line="288" w:lineRule="auto"/>
            </w:pPr>
            <w:r/>
            <w:r>
              <w:rPr>
                <w:rFonts w:ascii="Times New Roman" w:hAnsi="Times New Roman" w:eastAsia="SimSun"/>
                <w:b w:val="0"/>
                <w:sz w:val="21"/>
              </w:rPr>
              <w:t>由管理人向协会履行变更手续</w:t>
            </w:r>
          </w:p>
        </w:tc>
        <w:tc>
          <w:tcPr>
            <w:tcW w:type="dxa" w:w="2340"/>
          </w:tcPr>
          <w:p>
            <w:pPr>
              <w:spacing w:line="288" w:lineRule="auto"/>
            </w:pPr>
            <w:r/>
            <w:r>
              <w:rPr>
                <w:rFonts w:ascii="Times New Roman" w:hAnsi="Times New Roman" w:eastAsia="SimSun"/>
                <w:b w:val="0"/>
                <w:sz w:val="21"/>
              </w:rPr>
              <w:t>自变更之日起10个工作日内</w:t>
            </w:r>
          </w:p>
        </w:tc>
      </w:tr>
      <w:tr>
        <w:tc>
          <w:tcPr>
            <w:tcW w:type="dxa" w:w="2340"/>
          </w:tcPr>
          <w:p>
            <w:pPr>
              <w:spacing w:line="288" w:lineRule="auto"/>
            </w:pPr>
            <w:r/>
            <w:r>
              <w:rPr>
                <w:rFonts w:ascii="Times New Roman" w:hAnsi="Times New Roman" w:eastAsia="SimSun"/>
                <w:b w:val="0"/>
                <w:sz w:val="21"/>
              </w:rPr>
              <w:t>管理人的控股股东、实际控制人、普通合伙人变更</w:t>
            </w:r>
          </w:p>
        </w:tc>
        <w:tc>
          <w:tcPr>
            <w:tcW w:type="dxa" w:w="2340"/>
          </w:tcPr>
          <w:p>
            <w:pPr>
              <w:spacing w:line="288" w:lineRule="auto"/>
            </w:pPr>
            <w:r/>
            <w:r>
              <w:rPr>
                <w:rFonts w:ascii="Times New Roman" w:hAnsi="Times New Roman" w:eastAsia="SimSun"/>
                <w:b w:val="0"/>
                <w:sz w:val="21"/>
              </w:rPr>
              <w:t>《登记备案办法》第四十八条</w:t>
            </w:r>
          </w:p>
        </w:tc>
        <w:tc>
          <w:tcPr>
            <w:tcW w:type="dxa" w:w="2340"/>
          </w:tcPr>
          <w:p>
            <w:pPr>
              <w:spacing w:line="288" w:lineRule="auto"/>
            </w:pPr>
            <w:r/>
            <w:r>
              <w:rPr>
                <w:rFonts w:ascii="Times New Roman" w:hAnsi="Times New Roman" w:eastAsia="SimSun"/>
                <w:b w:val="0"/>
                <w:sz w:val="21"/>
              </w:rPr>
              <w:t>由管理人履行变更手续并提交专项法律意见书；实际控制权发生变更的，按照新登记要求对管理人进行全面核查</w:t>
            </w:r>
          </w:p>
        </w:tc>
        <w:tc>
          <w:tcPr>
            <w:tcW w:type="dxa" w:w="2340"/>
          </w:tcPr>
          <w:p>
            <w:pPr>
              <w:spacing w:line="288" w:lineRule="auto"/>
            </w:pPr>
            <w:r/>
            <w:r>
              <w:rPr>
                <w:rFonts w:ascii="Times New Roman" w:hAnsi="Times New Roman" w:eastAsia="SimSun"/>
                <w:b w:val="0"/>
                <w:sz w:val="21"/>
              </w:rPr>
              <w:t>30个工作日内；实际控制权变更的，变更之日前12个月管理规模应持续不低于3000万元</w:t>
            </w:r>
          </w:p>
        </w:tc>
      </w:tr>
    </w:tbl>
    <w:p>
      <w:pPr>
        <w:spacing w:line="300" w:lineRule="auto" w:after="60"/>
        <w:jc w:val="both"/>
      </w:pPr>
      <w:r>
        <w:rPr>
          <w:rFonts w:ascii="Times New Roman" w:hAnsi="Times New Roman" w:eastAsia="SimSun"/>
          <w:b w:val="0"/>
          <w:color w:val="7F7F7F"/>
          <w:sz w:val="21"/>
        </w:rPr>
        <w:t>【拟稿注：路由判断的第一问是申报对象是谁：基金层面的合伙人变更（申报对象是【基金】这只产品）与管理人主体层面的股东、合伙人变更（申报对象是管理人这家机构）是两个不同的申报对象、两条不同线路，材料、时限与后果均不同，切勿混淆。同一交易可能同时触发多条线路——例如受让方受让的份额恰是管理人担任普通合伙人的份额，则既触发基金层面变更（第五十五条线），受让方若同时入股管理人主体，还叠加管理人层面股东变更（第四十七条或第四十八条线）——应逐条对号、并行申报。另须谨记：份额转让的合伙法同意（《合伙企业法》第二十二条、第十九条第二款、第二十四条，合伙协议另有约定的优先）与变更管理人的投资者会议同意（《指引3号》第四条，除法律另有规定或基金合同另有约定外须经持有三分之二以上基金份额的投资者同意）是两道独立程序，叠加而不互相替代。】</w:t>
      </w:r>
    </w:p>
    <w:p>
      <w:pPr>
        <w:spacing w:line="341" w:lineRule="auto" w:before="200" w:after="120"/>
      </w:pPr>
      <w:r>
        <w:rPr>
          <w:rFonts w:ascii="Times New Roman" w:hAnsi="Times New Roman" w:eastAsia="SimHei"/>
          <w:b/>
          <w:sz w:val="28"/>
        </w:rPr>
        <w:t>第二部分　顺序时间轴表</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tcPr>
          <w:p>
            <w:pPr>
              <w:spacing w:line="288" w:lineRule="auto"/>
            </w:pPr>
            <w:r/>
            <w:r>
              <w:rPr>
                <w:rFonts w:ascii="Times New Roman" w:hAnsi="Times New Roman" w:eastAsia="SimHei"/>
                <w:b/>
                <w:sz w:val="21"/>
              </w:rPr>
              <w:t>步骤</w:t>
            </w:r>
          </w:p>
        </w:tc>
        <w:tc>
          <w:tcPr>
            <w:tcW w:type="dxa" w:w="1872"/>
          </w:tcPr>
          <w:p>
            <w:pPr>
              <w:spacing w:line="288" w:lineRule="auto"/>
            </w:pPr>
            <w:r/>
            <w:r>
              <w:rPr>
                <w:rFonts w:ascii="Times New Roman" w:hAnsi="Times New Roman" w:eastAsia="SimHei"/>
                <w:b/>
                <w:sz w:val="21"/>
              </w:rPr>
              <w:t>动作</w:t>
            </w:r>
          </w:p>
        </w:tc>
        <w:tc>
          <w:tcPr>
            <w:tcW w:type="dxa" w:w="1872"/>
          </w:tcPr>
          <w:p>
            <w:pPr>
              <w:spacing w:line="288" w:lineRule="auto"/>
            </w:pPr>
            <w:r/>
            <w:r>
              <w:rPr>
                <w:rFonts w:ascii="Times New Roman" w:hAnsi="Times New Roman" w:eastAsia="SimHei"/>
                <w:b/>
                <w:sz w:val="21"/>
              </w:rPr>
              <w:t>期限</w:t>
            </w:r>
          </w:p>
        </w:tc>
        <w:tc>
          <w:tcPr>
            <w:tcW w:type="dxa" w:w="1872"/>
          </w:tcPr>
          <w:p>
            <w:pPr>
              <w:spacing w:line="288" w:lineRule="auto"/>
            </w:pPr>
            <w:r/>
            <w:r>
              <w:rPr>
                <w:rFonts w:ascii="Times New Roman" w:hAnsi="Times New Roman" w:eastAsia="SimHei"/>
                <w:b/>
                <w:sz w:val="21"/>
              </w:rPr>
              <w:t>依据</w:t>
            </w:r>
          </w:p>
        </w:tc>
        <w:tc>
          <w:tcPr>
            <w:tcW w:type="dxa" w:w="1872"/>
          </w:tcPr>
          <w:p>
            <w:pPr>
              <w:spacing w:line="288" w:lineRule="auto"/>
            </w:pPr>
            <w:r/>
            <w:r>
              <w:rPr>
                <w:rFonts w:ascii="Times New Roman" w:hAnsi="Times New Roman" w:eastAsia="SimHei"/>
                <w:b/>
                <w:sz w:val="21"/>
              </w:rPr>
              <w:t>责任方</w:t>
            </w:r>
          </w:p>
        </w:tc>
      </w:tr>
      <w:tr>
        <w:tc>
          <w:tcPr>
            <w:tcW w:type="dxa" w:w="1872"/>
          </w:tcPr>
          <w:p>
            <w:pPr>
              <w:spacing w:line="288" w:lineRule="auto"/>
            </w:pPr>
            <w:r/>
            <w:r>
              <w:rPr>
                <w:rFonts w:ascii="Times New Roman" w:hAnsi="Times New Roman" w:eastAsia="SimSun"/>
                <w:b w:val="0"/>
                <w:sz w:val="21"/>
              </w:rPr>
              <w:t>第一步</w:t>
            </w:r>
          </w:p>
        </w:tc>
        <w:tc>
          <w:tcPr>
            <w:tcW w:type="dxa" w:w="1872"/>
          </w:tcPr>
          <w:p>
            <w:pPr>
              <w:spacing w:line="288" w:lineRule="auto"/>
            </w:pPr>
            <w:r/>
            <w:r>
              <w:rPr>
                <w:rFonts w:ascii="Times New Roman" w:hAnsi="Times New Roman" w:eastAsia="SimSun"/>
                <w:b w:val="0"/>
                <w:sz w:val="21"/>
              </w:rPr>
              <w:t>内部决议与签署：取得其他合伙人同意及优先购买权放弃文件，签署份额转让协议、入伙协议、合伙协议修正案；涉及变更管理人的，另行召开投资者会议形成决议，签署同意变更协议、新基金合同及委托管理协议（如有）</w:t>
            </w:r>
          </w:p>
        </w:tc>
        <w:tc>
          <w:tcPr>
            <w:tcW w:type="dxa" w:w="1872"/>
          </w:tcPr>
          <w:p>
            <w:pPr>
              <w:spacing w:line="288" w:lineRule="auto"/>
            </w:pPr>
            <w:r/>
            <w:r>
              <w:rPr>
                <w:rFonts w:ascii="Times New Roman" w:hAnsi="Times New Roman" w:eastAsia="SimSun"/>
                <w:b w:val="0"/>
                <w:sz w:val="21"/>
              </w:rPr>
              <w:t>按合伙协议及基金合同约定的程序与期限完成</w:t>
            </w:r>
          </w:p>
        </w:tc>
        <w:tc>
          <w:tcPr>
            <w:tcW w:type="dxa" w:w="1872"/>
          </w:tcPr>
          <w:p>
            <w:pPr>
              <w:spacing w:line="288" w:lineRule="auto"/>
            </w:pPr>
            <w:r/>
            <w:r>
              <w:rPr>
                <w:rFonts w:ascii="Times New Roman" w:hAnsi="Times New Roman" w:eastAsia="SimSun"/>
                <w:b w:val="0"/>
                <w:sz w:val="21"/>
              </w:rPr>
              <w:t>《合伙企业法》第二十二条、第二十三条、第四十三条、第二十四条、第十九条第二款、第七十三条；《指引3号》第四条</w:t>
            </w:r>
          </w:p>
        </w:tc>
        <w:tc>
          <w:tcPr>
            <w:tcW w:type="dxa" w:w="1872"/>
          </w:tcPr>
          <w:p>
            <w:pPr>
              <w:spacing w:line="288" w:lineRule="auto"/>
            </w:pPr>
            <w:r/>
            <w:r>
              <w:rPr>
                <w:rFonts w:ascii="Times New Roman" w:hAnsi="Times New Roman" w:eastAsia="SimSun"/>
                <w:b w:val="0"/>
                <w:sz w:val="21"/>
              </w:rPr>
              <w:t>【转让方】、【受让方】、【其他合伙人】、【执行事务合伙人】；涉变更管理人的另含投资者、【原管理人】、【新管理人】、【托管人】（如有）</w:t>
            </w:r>
          </w:p>
        </w:tc>
      </w:tr>
      <w:tr>
        <w:tc>
          <w:tcPr>
            <w:tcW w:type="dxa" w:w="1872"/>
          </w:tcPr>
          <w:p>
            <w:pPr>
              <w:spacing w:line="288" w:lineRule="auto"/>
            </w:pPr>
            <w:r/>
            <w:r>
              <w:rPr>
                <w:rFonts w:ascii="Times New Roman" w:hAnsi="Times New Roman" w:eastAsia="SimSun"/>
                <w:b w:val="0"/>
                <w:sz w:val="21"/>
              </w:rPr>
              <w:t>第二步</w:t>
            </w:r>
          </w:p>
        </w:tc>
        <w:tc>
          <w:tcPr>
            <w:tcW w:type="dxa" w:w="1872"/>
          </w:tcPr>
          <w:p>
            <w:pPr>
              <w:spacing w:line="288" w:lineRule="auto"/>
            </w:pPr>
            <w:r/>
            <w:r>
              <w:rPr>
                <w:rFonts w:ascii="Times New Roman" w:hAnsi="Times New Roman" w:eastAsia="SimSun"/>
                <w:b w:val="0"/>
                <w:sz w:val="21"/>
              </w:rPr>
              <w:t>市场主体变更登记（合伙人、执行事务合伙人等登记事项变更）</w:t>
            </w:r>
          </w:p>
        </w:tc>
        <w:tc>
          <w:tcPr>
            <w:tcW w:type="dxa" w:w="1872"/>
          </w:tcPr>
          <w:p>
            <w:pPr>
              <w:spacing w:line="288" w:lineRule="auto"/>
            </w:pPr>
            <w:r/>
            <w:r>
              <w:rPr>
                <w:rFonts w:ascii="Times New Roman" w:hAnsi="Times New Roman" w:eastAsia="SimSun"/>
                <w:b w:val="0"/>
                <w:sz w:val="21"/>
              </w:rPr>
              <w:t>自作出变更决议、决定或者法定变更事项发生之日起30日内申请变更登记</w:t>
            </w:r>
          </w:p>
        </w:tc>
        <w:tc>
          <w:tcPr>
            <w:tcW w:type="dxa" w:w="1872"/>
          </w:tcPr>
          <w:p>
            <w:pPr>
              <w:spacing w:line="288" w:lineRule="auto"/>
            </w:pPr>
            <w:r/>
            <w:r>
              <w:rPr>
                <w:rFonts w:ascii="Times New Roman" w:hAnsi="Times New Roman" w:eastAsia="SimSun"/>
                <w:b w:val="0"/>
                <w:sz w:val="21"/>
              </w:rPr>
              <w:t>《市场主体登记管理条例》（国务院令第746号）第二十四条</w:t>
            </w:r>
          </w:p>
        </w:tc>
        <w:tc>
          <w:tcPr>
            <w:tcW w:type="dxa" w:w="1872"/>
          </w:tcPr>
          <w:p>
            <w:pPr>
              <w:spacing w:line="288" w:lineRule="auto"/>
            </w:pPr>
            <w:r/>
            <w:r>
              <w:rPr>
                <w:rFonts w:ascii="Times New Roman" w:hAnsi="Times New Roman" w:eastAsia="SimSun"/>
                <w:b w:val="0"/>
                <w:sz w:val="21"/>
              </w:rPr>
              <w:t>【基金】（由【执行事务合伙人】具体经办）</w:t>
            </w:r>
          </w:p>
        </w:tc>
      </w:tr>
      <w:tr>
        <w:tc>
          <w:tcPr>
            <w:tcW w:type="dxa" w:w="1872"/>
          </w:tcPr>
          <w:p>
            <w:pPr>
              <w:spacing w:line="288" w:lineRule="auto"/>
            </w:pPr>
            <w:r/>
            <w:r>
              <w:rPr>
                <w:rFonts w:ascii="Times New Roman" w:hAnsi="Times New Roman" w:eastAsia="SimSun"/>
                <w:b w:val="0"/>
                <w:sz w:val="21"/>
              </w:rPr>
              <w:t>第三步</w:t>
            </w:r>
          </w:p>
        </w:tc>
        <w:tc>
          <w:tcPr>
            <w:tcW w:type="dxa" w:w="1872"/>
          </w:tcPr>
          <w:p>
            <w:pPr>
              <w:spacing w:line="288" w:lineRule="auto"/>
            </w:pPr>
            <w:r/>
            <w:r>
              <w:rPr>
                <w:rFonts w:ascii="Times New Roman" w:hAnsi="Times New Roman" w:eastAsia="SimSun"/>
                <w:b w:val="0"/>
                <w:sz w:val="21"/>
              </w:rPr>
              <w:t>协会变更手续：按第一部分路由判断表确定线路，经登记备案电子系统报送</w:t>
            </w:r>
          </w:p>
        </w:tc>
        <w:tc>
          <w:tcPr>
            <w:tcW w:type="dxa" w:w="1872"/>
          </w:tcPr>
          <w:p>
            <w:pPr>
              <w:spacing w:line="288" w:lineRule="auto"/>
            </w:pPr>
            <w:r/>
            <w:r>
              <w:rPr>
                <w:rFonts w:ascii="Times New Roman" w:hAnsi="Times New Roman" w:eastAsia="SimSun"/>
                <w:b w:val="0"/>
                <w:sz w:val="21"/>
              </w:rPr>
              <w:t>自变更之日起10个工作日内（《登记备案办法》第四十八条线为30个工作日内）；变更之日的认定：需办理市场主体变更登记的，指市场主体变更登记之日；无需办理的，指相关协议或者决议生效之日</w:t>
            </w:r>
          </w:p>
        </w:tc>
        <w:tc>
          <w:tcPr>
            <w:tcW w:type="dxa" w:w="1872"/>
          </w:tcPr>
          <w:p>
            <w:pPr>
              <w:spacing w:line="288" w:lineRule="auto"/>
            </w:pPr>
            <w:r/>
            <w:r>
              <w:rPr>
                <w:rFonts w:ascii="Times New Roman" w:hAnsi="Times New Roman" w:eastAsia="SimSun"/>
                <w:b w:val="0"/>
                <w:sz w:val="21"/>
              </w:rPr>
              <w:t>《登记备案办法》第五十五条、第四十七条、第四十八条；《指引2号》第二十七条、第三十五条第（七）项；《指引3号》第六条</w:t>
            </w:r>
          </w:p>
        </w:tc>
        <w:tc>
          <w:tcPr>
            <w:tcW w:type="dxa" w:w="1872"/>
          </w:tcPr>
          <w:p>
            <w:pPr>
              <w:spacing w:line="288" w:lineRule="auto"/>
            </w:pPr>
            <w:r/>
            <w:r>
              <w:rPr>
                <w:rFonts w:ascii="Times New Roman" w:hAnsi="Times New Roman" w:eastAsia="SimSun"/>
                <w:b w:val="0"/>
                <w:sz w:val="21"/>
              </w:rPr>
              <w:t>管理人（变更管理人的由【原管理人】报送、【新管理人】确认；《指引3号》第七条特殊情形由【新管理人】报送）</w:t>
            </w:r>
          </w:p>
        </w:tc>
      </w:tr>
      <w:tr>
        <w:tc>
          <w:tcPr>
            <w:tcW w:type="dxa" w:w="1872"/>
          </w:tcPr>
          <w:p>
            <w:pPr>
              <w:spacing w:line="288" w:lineRule="auto"/>
            </w:pPr>
            <w:r/>
            <w:r>
              <w:rPr>
                <w:rFonts w:ascii="Times New Roman" w:hAnsi="Times New Roman" w:eastAsia="SimSun"/>
                <w:b w:val="0"/>
                <w:sz w:val="21"/>
              </w:rPr>
              <w:t>第四步</w:t>
            </w:r>
          </w:p>
        </w:tc>
        <w:tc>
          <w:tcPr>
            <w:tcW w:type="dxa" w:w="1872"/>
          </w:tcPr>
          <w:p>
            <w:pPr>
              <w:spacing w:line="288" w:lineRule="auto"/>
            </w:pPr>
            <w:r/>
            <w:r>
              <w:rPr>
                <w:rFonts w:ascii="Times New Roman" w:hAnsi="Times New Roman" w:eastAsia="SimSun"/>
                <w:b w:val="0"/>
                <w:sz w:val="21"/>
              </w:rPr>
              <w:t>信息披露与报告：向投资者披露变更进展及影响；完成管理人变更后向注册地证监局报告</w:t>
            </w:r>
          </w:p>
        </w:tc>
        <w:tc>
          <w:tcPr>
            <w:tcW w:type="dxa" w:w="1872"/>
          </w:tcPr>
          <w:p>
            <w:pPr>
              <w:spacing w:line="288" w:lineRule="auto"/>
            </w:pPr>
            <w:r/>
            <w:r>
              <w:rPr>
                <w:rFonts w:ascii="Times New Roman" w:hAnsi="Times New Roman" w:eastAsia="SimSun"/>
                <w:b w:val="0"/>
                <w:sz w:val="21"/>
              </w:rPr>
              <w:t>信息披露及时进行；证监局报告于完成管理人变更后及时办理</w:t>
            </w:r>
          </w:p>
        </w:tc>
        <w:tc>
          <w:tcPr>
            <w:tcW w:type="dxa" w:w="1872"/>
          </w:tcPr>
          <w:p>
            <w:pPr>
              <w:spacing w:line="288" w:lineRule="auto"/>
            </w:pPr>
            <w:r/>
            <w:r>
              <w:rPr>
                <w:rFonts w:ascii="Times New Roman" w:hAnsi="Times New Roman" w:eastAsia="SimSun"/>
                <w:b w:val="0"/>
                <w:sz w:val="21"/>
              </w:rPr>
              <w:t>《指引3号》第十五条第二款；《登记备案办法》第二十八条第二款第（八）项</w:t>
            </w:r>
          </w:p>
        </w:tc>
        <w:tc>
          <w:tcPr>
            <w:tcW w:type="dxa" w:w="1872"/>
          </w:tcPr>
          <w:p>
            <w:pPr>
              <w:spacing w:line="288" w:lineRule="auto"/>
            </w:pPr>
            <w:r/>
            <w:r>
              <w:rPr>
                <w:rFonts w:ascii="Times New Roman" w:hAnsi="Times New Roman" w:eastAsia="SimSun"/>
                <w:b w:val="0"/>
                <w:sz w:val="21"/>
              </w:rPr>
              <w:t>管理人；证监局报告由【新管理人】办理</w:t>
            </w:r>
          </w:p>
        </w:tc>
      </w:tr>
    </w:tbl>
    <w:p>
      <w:pPr>
        <w:spacing w:line="300" w:lineRule="auto" w:after="60"/>
        <w:jc w:val="both"/>
      </w:pPr>
      <w:r>
        <w:rPr>
          <w:rFonts w:ascii="Times New Roman" w:hAnsi="Times New Roman" w:eastAsia="SimSun"/>
          <w:b w:val="0"/>
          <w:color w:val="7F7F7F"/>
          <w:sz w:val="21"/>
        </w:rPr>
        <w:t>【拟稿注：顺序不可倒置：先内部决议签署、再工商变更登记、后协会变更手续。协会手续的10个工作日自变更之日起算，而需要办理工商变更的情形下变更之日即工商变更登记之日——工商未办结，协会时限不起算，但工商登记自身受30日约束，两个期限是接续关系而非并行关系。倒序办理（先向协会申请、后补决议）或跳步（不办工商直接报协会）会被要求补正，情节严重的触发本指引第五部分所列后果。】</w:t>
      </w:r>
    </w:p>
    <w:p>
      <w:pPr>
        <w:spacing w:line="341" w:lineRule="auto" w:before="200" w:after="120"/>
      </w:pPr>
      <w:r>
        <w:rPr>
          <w:rFonts w:ascii="Times New Roman" w:hAnsi="Times New Roman" w:eastAsia="SimHei"/>
          <w:b/>
          <w:sz w:val="28"/>
        </w:rPr>
        <w:t>第三部分　变更管理人报送材料对照表（《指引3号》第六条线）</w:t>
      </w:r>
    </w:p>
    <w:tbl>
      <w:tblPr>
        <w:tblStyle w:val="TableGrid"/>
        <w:tblW w:type="auto" w:w="0"/>
        <w:tblLook w:firstColumn="1" w:firstRow="1" w:lastColumn="0" w:lastRow="0" w:noHBand="0" w:noVBand="1" w:val="04A0"/>
      </w:tblPr>
      <w:tblGrid>
        <w:gridCol w:w="3120"/>
        <w:gridCol w:w="3120"/>
        <w:gridCol w:w="3120"/>
      </w:tblGrid>
      <w:tr>
        <w:tc>
          <w:tcPr>
            <w:tcW w:type="dxa" w:w="3120"/>
          </w:tcPr>
          <w:p>
            <w:pPr>
              <w:spacing w:line="288" w:lineRule="auto"/>
            </w:pPr>
            <w:r/>
            <w:r>
              <w:rPr>
                <w:rFonts w:ascii="Times New Roman" w:hAnsi="Times New Roman" w:eastAsia="SimHei"/>
                <w:b/>
                <w:sz w:val="21"/>
              </w:rPr>
              <w:t>材料名称</w:t>
            </w:r>
          </w:p>
        </w:tc>
        <w:tc>
          <w:tcPr>
            <w:tcW w:type="dxa" w:w="3120"/>
          </w:tcPr>
          <w:p>
            <w:pPr>
              <w:spacing w:line="288" w:lineRule="auto"/>
            </w:pPr>
            <w:r/>
            <w:r>
              <w:rPr>
                <w:rFonts w:ascii="Times New Roman" w:hAnsi="Times New Roman" w:eastAsia="SimHei"/>
                <w:b/>
                <w:sz w:val="21"/>
              </w:rPr>
              <w:t>内容要求</w:t>
            </w:r>
          </w:p>
        </w:tc>
        <w:tc>
          <w:tcPr>
            <w:tcW w:type="dxa" w:w="3120"/>
          </w:tcPr>
          <w:p>
            <w:pPr>
              <w:spacing w:line="288" w:lineRule="auto"/>
            </w:pPr>
            <w:r/>
            <w:r>
              <w:rPr>
                <w:rFonts w:ascii="Times New Roman" w:hAnsi="Times New Roman" w:eastAsia="SimHei"/>
                <w:b/>
                <w:sz w:val="21"/>
              </w:rPr>
              <w:t>签章要求</w:t>
            </w:r>
          </w:p>
        </w:tc>
      </w:tr>
      <w:tr>
        <w:tc>
          <w:tcPr>
            <w:tcW w:type="dxa" w:w="3120"/>
          </w:tcPr>
          <w:p>
            <w:pPr>
              <w:spacing w:line="288" w:lineRule="auto"/>
            </w:pPr>
            <w:r/>
            <w:r>
              <w:rPr>
                <w:rFonts w:ascii="Times New Roman" w:hAnsi="Times New Roman" w:eastAsia="SimSun"/>
                <w:b w:val="0"/>
                <w:sz w:val="21"/>
              </w:rPr>
              <w:t>（一）变更原因说明</w:t>
            </w:r>
          </w:p>
        </w:tc>
        <w:tc>
          <w:tcPr>
            <w:tcW w:type="dxa" w:w="3120"/>
          </w:tcPr>
          <w:p>
            <w:pPr>
              <w:spacing w:line="288" w:lineRule="auto"/>
            </w:pPr>
            <w:r/>
            <w:r>
              <w:rPr>
                <w:rFonts w:ascii="Times New Roman" w:hAnsi="Times New Roman" w:eastAsia="SimSun"/>
                <w:b w:val="0"/>
                <w:sz w:val="21"/>
              </w:rPr>
              <w:t>说明变更管理人的背景、原因及决策过程，表述应与决议文件一致</w:t>
            </w:r>
          </w:p>
        </w:tc>
        <w:tc>
          <w:tcPr>
            <w:tcW w:type="dxa" w:w="3120"/>
          </w:tcPr>
          <w:p>
            <w:pPr>
              <w:spacing w:line="288" w:lineRule="auto"/>
            </w:pPr>
            <w:r/>
            <w:r>
              <w:rPr>
                <w:rFonts w:ascii="Times New Roman" w:hAnsi="Times New Roman" w:eastAsia="SimSun"/>
                <w:b w:val="0"/>
                <w:sz w:val="21"/>
              </w:rPr>
              <w:t>加盖管理人公章（由报送方盖章）</w:t>
            </w:r>
          </w:p>
        </w:tc>
      </w:tr>
      <w:tr>
        <w:tc>
          <w:tcPr>
            <w:tcW w:type="dxa" w:w="3120"/>
          </w:tcPr>
          <w:p>
            <w:pPr>
              <w:spacing w:line="288" w:lineRule="auto"/>
            </w:pPr>
            <w:r/>
            <w:r>
              <w:rPr>
                <w:rFonts w:ascii="Times New Roman" w:hAnsi="Times New Roman" w:eastAsia="SimSun"/>
                <w:b w:val="0"/>
                <w:sz w:val="21"/>
              </w:rPr>
              <w:t>（二）同意变更协议或投资者会议决议</w:t>
            </w:r>
          </w:p>
        </w:tc>
        <w:tc>
          <w:tcPr>
            <w:tcW w:type="dxa" w:w="3120"/>
          </w:tcPr>
          <w:p>
            <w:pPr>
              <w:spacing w:line="288" w:lineRule="auto"/>
            </w:pPr>
            <w:r/>
            <w:r>
              <w:rPr>
                <w:rFonts w:ascii="Times New Roman" w:hAnsi="Times New Roman" w:eastAsia="SimSun"/>
                <w:b w:val="0"/>
                <w:sz w:val="21"/>
              </w:rPr>
              <w:t>由【原管理人】、【新管理人】、投资者、【托管人】（如有）共同签署的同意变更协议，或投资者会议决议；决议应载明召集主体、召集程序、表决方式、表决比例及通过情况，满足持有三分之二以上基金份额的投资者同意的要求（法律另有规定或基金合同另有约定的除外），并附表决明细</w:t>
            </w:r>
          </w:p>
        </w:tc>
        <w:tc>
          <w:tcPr>
            <w:tcW w:type="dxa" w:w="3120"/>
          </w:tcPr>
          <w:p>
            <w:pPr>
              <w:spacing w:line="288" w:lineRule="auto"/>
            </w:pPr>
            <w:r/>
            <w:r>
              <w:rPr>
                <w:rFonts w:ascii="Times New Roman" w:hAnsi="Times New Roman" w:eastAsia="SimSun"/>
                <w:b w:val="0"/>
                <w:sz w:val="21"/>
              </w:rPr>
              <w:t>各方完整签章并注明签署日期</w:t>
            </w:r>
          </w:p>
        </w:tc>
      </w:tr>
      <w:tr>
        <w:tc>
          <w:tcPr>
            <w:tcW w:type="dxa" w:w="3120"/>
          </w:tcPr>
          <w:p>
            <w:pPr>
              <w:spacing w:line="288" w:lineRule="auto"/>
            </w:pPr>
            <w:r/>
            <w:r>
              <w:rPr>
                <w:rFonts w:ascii="Times New Roman" w:hAnsi="Times New Roman" w:eastAsia="SimSun"/>
                <w:b w:val="0"/>
                <w:sz w:val="21"/>
              </w:rPr>
              <w:t>（三）新基金合同</w:t>
            </w:r>
          </w:p>
        </w:tc>
        <w:tc>
          <w:tcPr>
            <w:tcW w:type="dxa" w:w="3120"/>
          </w:tcPr>
          <w:p>
            <w:pPr>
              <w:spacing w:line="288" w:lineRule="auto"/>
            </w:pPr>
            <w:r/>
            <w:r>
              <w:rPr>
                <w:rFonts w:ascii="Times New Roman" w:hAnsi="Times New Roman" w:eastAsia="SimSun"/>
                <w:b w:val="0"/>
                <w:sz w:val="21"/>
              </w:rPr>
              <w:t>与【新管理人】签署的新基金合同（合伙型基金为修订后合伙协议及配套文件），其中管理人职责、费用、信息披露等核心条款应与向投资者披露的内容一致，并载明《登记备案办法》第二十九条第（五）项要求的管理人无法履行或怠于履行职责时变更管理人、清算等决策机制、召集主体、表决方式、表决比例等约定</w:t>
            </w:r>
          </w:p>
        </w:tc>
        <w:tc>
          <w:tcPr>
            <w:tcW w:type="dxa" w:w="3120"/>
          </w:tcPr>
          <w:p>
            <w:pPr>
              <w:spacing w:line="288" w:lineRule="auto"/>
            </w:pPr>
            <w:r/>
            <w:r>
              <w:rPr>
                <w:rFonts w:ascii="Times New Roman" w:hAnsi="Times New Roman" w:eastAsia="SimSun"/>
                <w:b w:val="0"/>
                <w:sz w:val="21"/>
              </w:rPr>
              <w:t>各方按合同约定完整签章并注明日期</w:t>
            </w:r>
          </w:p>
        </w:tc>
      </w:tr>
      <w:tr>
        <w:tc>
          <w:tcPr>
            <w:tcW w:type="dxa" w:w="3120"/>
          </w:tcPr>
          <w:p>
            <w:pPr>
              <w:spacing w:line="288" w:lineRule="auto"/>
            </w:pPr>
            <w:r/>
            <w:r>
              <w:rPr>
                <w:rFonts w:ascii="Times New Roman" w:hAnsi="Times New Roman" w:eastAsia="SimSun"/>
                <w:b w:val="0"/>
                <w:sz w:val="21"/>
              </w:rPr>
              <w:t>（四）委托管理协议（如有）</w:t>
            </w:r>
          </w:p>
        </w:tc>
        <w:tc>
          <w:tcPr>
            <w:tcW w:type="dxa" w:w="3120"/>
          </w:tcPr>
          <w:p>
            <w:pPr>
              <w:spacing w:line="288" w:lineRule="auto"/>
            </w:pPr>
            <w:r/>
            <w:r>
              <w:rPr>
                <w:rFonts w:ascii="Times New Roman" w:hAnsi="Times New Roman" w:eastAsia="SimSun"/>
                <w:b w:val="0"/>
                <w:sz w:val="21"/>
              </w:rPr>
              <w:t>执行事务合伙人与管理人分离的合伙型基金，应上传【基金】、【执行事务合伙人】和管理人共同签署的委托管理协议</w:t>
            </w:r>
          </w:p>
        </w:tc>
        <w:tc>
          <w:tcPr>
            <w:tcW w:type="dxa" w:w="3120"/>
          </w:tcPr>
          <w:p>
            <w:pPr>
              <w:spacing w:line="288" w:lineRule="auto"/>
            </w:pPr>
            <w:r/>
            <w:r>
              <w:rPr>
                <w:rFonts w:ascii="Times New Roman" w:hAnsi="Times New Roman" w:eastAsia="SimSun"/>
                <w:b w:val="0"/>
                <w:sz w:val="21"/>
              </w:rPr>
              <w:t>三方完整签章并注明日期</w:t>
            </w:r>
          </w:p>
        </w:tc>
      </w:tr>
      <w:tr>
        <w:tc>
          <w:tcPr>
            <w:tcW w:type="dxa" w:w="3120"/>
          </w:tcPr>
          <w:p>
            <w:pPr>
              <w:spacing w:line="288" w:lineRule="auto"/>
            </w:pPr>
            <w:r/>
            <w:r>
              <w:rPr>
                <w:rFonts w:ascii="Times New Roman" w:hAnsi="Times New Roman" w:eastAsia="SimSun"/>
                <w:b w:val="0"/>
                <w:sz w:val="21"/>
              </w:rPr>
              <w:t>（五）托管人明确意见</w:t>
            </w:r>
          </w:p>
        </w:tc>
        <w:tc>
          <w:tcPr>
            <w:tcW w:type="dxa" w:w="3120"/>
          </w:tcPr>
          <w:p>
            <w:pPr>
              <w:spacing w:line="288" w:lineRule="auto"/>
            </w:pPr>
            <w:r/>
            <w:r>
              <w:rPr>
                <w:rFonts w:ascii="Times New Roman" w:hAnsi="Times New Roman" w:eastAsia="SimSun"/>
                <w:b w:val="0"/>
                <w:sz w:val="21"/>
              </w:rPr>
              <w:t>【托管人】对变更管理人事项的明确同意或不同意意见及理由，含托管衔接安排（可参考本文书包第13号文件模板一）</w:t>
            </w:r>
          </w:p>
        </w:tc>
        <w:tc>
          <w:tcPr>
            <w:tcW w:type="dxa" w:w="3120"/>
          </w:tcPr>
          <w:p>
            <w:pPr>
              <w:spacing w:line="288" w:lineRule="auto"/>
            </w:pPr>
            <w:r/>
            <w:r>
              <w:rPr>
                <w:rFonts w:ascii="Times New Roman" w:hAnsi="Times New Roman" w:eastAsia="SimSun"/>
                <w:b w:val="0"/>
                <w:sz w:val="21"/>
              </w:rPr>
              <w:t>加盖托管人签章，意见表述明确</w:t>
            </w:r>
          </w:p>
        </w:tc>
      </w:tr>
      <w:tr>
        <w:tc>
          <w:tcPr>
            <w:tcW w:type="dxa" w:w="3120"/>
          </w:tcPr>
          <w:p>
            <w:pPr>
              <w:spacing w:line="288" w:lineRule="auto"/>
            </w:pPr>
            <w:r/>
            <w:r>
              <w:rPr>
                <w:rFonts w:ascii="Times New Roman" w:hAnsi="Times New Roman" w:eastAsia="SimSun"/>
                <w:b w:val="0"/>
                <w:sz w:val="21"/>
              </w:rPr>
              <w:t>（六）变更后的工商登记信息</w:t>
            </w:r>
          </w:p>
        </w:tc>
        <w:tc>
          <w:tcPr>
            <w:tcW w:type="dxa" w:w="3120"/>
          </w:tcPr>
          <w:p>
            <w:pPr>
              <w:spacing w:line="288" w:lineRule="auto"/>
            </w:pPr>
            <w:r/>
            <w:r>
              <w:rPr>
                <w:rFonts w:ascii="Times New Roman" w:hAnsi="Times New Roman" w:eastAsia="SimSun"/>
                <w:b w:val="0"/>
                <w:sz w:val="21"/>
              </w:rPr>
              <w:t>合伙型或公司型基金变更后的工商登记信息（系统查询截图或打印件），合伙人信息应与合伙协议记载一致</w:t>
            </w:r>
          </w:p>
        </w:tc>
        <w:tc>
          <w:tcPr>
            <w:tcW w:type="dxa" w:w="3120"/>
          </w:tcPr>
          <w:p>
            <w:pPr>
              <w:spacing w:line="288" w:lineRule="auto"/>
            </w:pPr>
            <w:r/>
            <w:r>
              <w:rPr>
                <w:rFonts w:ascii="Times New Roman" w:hAnsi="Times New Roman" w:eastAsia="SimSun"/>
                <w:b w:val="0"/>
                <w:sz w:val="21"/>
              </w:rPr>
              <w:t>加盖管理人公章</w:t>
            </w:r>
          </w:p>
        </w:tc>
      </w:tr>
      <w:tr>
        <w:tc>
          <w:tcPr>
            <w:tcW w:type="dxa" w:w="3120"/>
          </w:tcPr>
          <w:p>
            <w:pPr>
              <w:spacing w:line="288" w:lineRule="auto"/>
            </w:pPr>
            <w:r/>
            <w:r>
              <w:rPr>
                <w:rFonts w:ascii="Times New Roman" w:hAnsi="Times New Roman" w:eastAsia="SimSun"/>
                <w:b w:val="0"/>
                <w:sz w:val="21"/>
              </w:rPr>
              <w:t>（七）信息变更承诺函</w:t>
            </w:r>
          </w:p>
        </w:tc>
        <w:tc>
          <w:tcPr>
            <w:tcW w:type="dxa" w:w="3120"/>
          </w:tcPr>
          <w:p>
            <w:pPr>
              <w:spacing w:line="288" w:lineRule="auto"/>
            </w:pPr>
            <w:r/>
            <w:r>
              <w:rPr>
                <w:rFonts w:ascii="Times New Roman" w:hAnsi="Times New Roman" w:eastAsia="SimSun"/>
                <w:b w:val="0"/>
                <w:sz w:val="21"/>
              </w:rPr>
              <w:t>使用协会登记备案电子系统内最新模板出具</w:t>
            </w:r>
          </w:p>
        </w:tc>
        <w:tc>
          <w:tcPr>
            <w:tcW w:type="dxa" w:w="3120"/>
          </w:tcPr>
          <w:p>
            <w:pPr>
              <w:spacing w:line="288" w:lineRule="auto"/>
            </w:pPr>
            <w:r/>
            <w:r>
              <w:rPr>
                <w:rFonts w:ascii="Times New Roman" w:hAnsi="Times New Roman" w:eastAsia="SimSun"/>
                <w:b w:val="0"/>
                <w:sz w:val="21"/>
              </w:rPr>
              <w:t>按协会模板要求签章</w:t>
            </w:r>
          </w:p>
        </w:tc>
      </w:tr>
    </w:tbl>
    <w:p>
      <w:pPr>
        <w:spacing w:line="319" w:lineRule="auto" w:after="40"/>
        <w:jc w:val="both"/>
      </w:pPr>
      <w:r>
        <w:rPr>
          <w:rFonts w:ascii="Times New Roman" w:hAnsi="Times New Roman" w:eastAsia="SimSun"/>
          <w:b w:val="0"/>
          <w:sz w:val="24"/>
        </w:rPr>
        <w:t>特殊情形附加材料</w:t>
      </w:r>
    </w:p>
    <w:tbl>
      <w:tblPr>
        <w:tblStyle w:val="TableGrid"/>
        <w:tblW w:type="auto" w:w="0"/>
        <w:tblLook w:firstColumn="1" w:firstRow="1" w:lastColumn="0" w:lastRow="0" w:noHBand="0" w:noVBand="1" w:val="04A0"/>
      </w:tblPr>
      <w:tblGrid>
        <w:gridCol w:w="3120"/>
        <w:gridCol w:w="3120"/>
        <w:gridCol w:w="3120"/>
      </w:tblGrid>
      <w:tr>
        <w:tc>
          <w:tcPr>
            <w:tcW w:type="dxa" w:w="3120"/>
          </w:tcPr>
          <w:p>
            <w:pPr>
              <w:spacing w:line="288" w:lineRule="auto"/>
            </w:pPr>
            <w:r/>
            <w:r>
              <w:rPr>
                <w:rFonts w:ascii="Times New Roman" w:hAnsi="Times New Roman" w:eastAsia="SimHei"/>
                <w:b/>
                <w:sz w:val="21"/>
              </w:rPr>
              <w:t>附加材料</w:t>
            </w:r>
          </w:p>
        </w:tc>
        <w:tc>
          <w:tcPr>
            <w:tcW w:type="dxa" w:w="3120"/>
          </w:tcPr>
          <w:p>
            <w:pPr>
              <w:spacing w:line="288" w:lineRule="auto"/>
            </w:pPr>
            <w:r/>
            <w:r>
              <w:rPr>
                <w:rFonts w:ascii="Times New Roman" w:hAnsi="Times New Roman" w:eastAsia="SimHei"/>
                <w:b/>
                <w:sz w:val="21"/>
              </w:rPr>
              <w:t>适用情形</w:t>
            </w:r>
          </w:p>
        </w:tc>
        <w:tc>
          <w:tcPr>
            <w:tcW w:type="dxa" w:w="3120"/>
          </w:tcPr>
          <w:p>
            <w:pPr>
              <w:spacing w:line="288" w:lineRule="auto"/>
            </w:pPr>
            <w:r/>
            <w:r>
              <w:rPr>
                <w:rFonts w:ascii="Times New Roman" w:hAnsi="Times New Roman" w:eastAsia="SimHei"/>
                <w:b/>
                <w:sz w:val="21"/>
              </w:rPr>
              <w:t>要点</w:t>
            </w:r>
          </w:p>
        </w:tc>
      </w:tr>
      <w:tr>
        <w:tc>
          <w:tcPr>
            <w:tcW w:type="dxa" w:w="3120"/>
          </w:tcPr>
          <w:p>
            <w:pPr>
              <w:spacing w:line="288" w:lineRule="auto"/>
            </w:pPr>
            <w:r/>
            <w:r>
              <w:rPr>
                <w:rFonts w:ascii="Times New Roman" w:hAnsi="Times New Roman" w:eastAsia="SimSun"/>
                <w:b w:val="0"/>
                <w:sz w:val="21"/>
              </w:rPr>
              <w:t>公证书或专项法律意见书</w:t>
            </w:r>
          </w:p>
        </w:tc>
        <w:tc>
          <w:tcPr>
            <w:tcW w:type="dxa" w:w="3120"/>
          </w:tcPr>
          <w:p>
            <w:pPr>
              <w:spacing w:line="288" w:lineRule="auto"/>
            </w:pPr>
            <w:r/>
            <w:r>
              <w:rPr>
                <w:rFonts w:ascii="Times New Roman" w:hAnsi="Times New Roman" w:eastAsia="SimSun"/>
                <w:b w:val="0"/>
                <w:sz w:val="21"/>
              </w:rPr>
              <w:t>《指引3号》第七条特殊情形（【原管理人】依法解散注销、被注销撤销管理人登记、失联、决议后不予配合等）由【新管理人】报送，且不属于全体投资者一致同意变更的</w:t>
            </w:r>
          </w:p>
        </w:tc>
        <w:tc>
          <w:tcPr>
            <w:tcW w:type="dxa" w:w="3120"/>
          </w:tcPr>
          <w:p>
            <w:pPr>
              <w:spacing w:line="288" w:lineRule="auto"/>
            </w:pPr>
            <w:r/>
            <w:r>
              <w:rPr>
                <w:rFonts w:ascii="Times New Roman" w:hAnsi="Times New Roman" w:eastAsia="SimSun"/>
                <w:b w:val="0"/>
                <w:sz w:val="21"/>
              </w:rPr>
              <w:t>变更程序应经公证机关公证，或由中国证监会备案的律师事务所出具专项法律意见书，且须对投资者会议召集及决议程序合规性发表明确结论性意见</w:t>
            </w:r>
          </w:p>
        </w:tc>
      </w:tr>
      <w:tr>
        <w:tc>
          <w:tcPr>
            <w:tcW w:type="dxa" w:w="3120"/>
          </w:tcPr>
          <w:p>
            <w:pPr>
              <w:spacing w:line="288" w:lineRule="auto"/>
            </w:pPr>
            <w:r/>
            <w:r>
              <w:rPr>
                <w:rFonts w:ascii="Times New Roman" w:hAnsi="Times New Roman" w:eastAsia="SimSun"/>
                <w:b w:val="0"/>
                <w:sz w:val="21"/>
              </w:rPr>
              <w:t>解除管理关系通知书及送达凭证</w:t>
            </w:r>
          </w:p>
        </w:tc>
        <w:tc>
          <w:tcPr>
            <w:tcW w:type="dxa" w:w="3120"/>
          </w:tcPr>
          <w:p>
            <w:pPr>
              <w:spacing w:line="288" w:lineRule="auto"/>
            </w:pPr>
            <w:r/>
            <w:r>
              <w:rPr>
                <w:rFonts w:ascii="Times New Roman" w:hAnsi="Times New Roman" w:eastAsia="SimSun"/>
                <w:b w:val="0"/>
                <w:sz w:val="21"/>
              </w:rPr>
              <w:t>经投资者会议等合法程序解任或者更换管理人的</w:t>
            </w:r>
          </w:p>
        </w:tc>
        <w:tc>
          <w:tcPr>
            <w:tcW w:type="dxa" w:w="3120"/>
          </w:tcPr>
          <w:p>
            <w:pPr>
              <w:spacing w:line="288" w:lineRule="auto"/>
            </w:pPr>
            <w:r/>
            <w:r>
              <w:rPr>
                <w:rFonts w:ascii="Times New Roman" w:hAnsi="Times New Roman" w:eastAsia="SimSun"/>
                <w:b w:val="0"/>
                <w:sz w:val="21"/>
              </w:rPr>
              <w:t>投资者通知原管理人解除管理关系的证明文件（可参考本文书包第13号文件模板二），附EMS投递单据、电子邮件记录或公证送达文书</w:t>
            </w:r>
          </w:p>
        </w:tc>
      </w:tr>
      <w:tr>
        <w:tc>
          <w:tcPr>
            <w:tcW w:type="dxa" w:w="3120"/>
          </w:tcPr>
          <w:p>
            <w:pPr>
              <w:spacing w:line="288" w:lineRule="auto"/>
            </w:pPr>
            <w:r/>
            <w:r>
              <w:rPr>
                <w:rFonts w:ascii="Times New Roman" w:hAnsi="Times New Roman" w:eastAsia="SimSun"/>
                <w:b w:val="0"/>
                <w:sz w:val="21"/>
              </w:rPr>
              <w:t>人民法院受理案件通知书或仲裁受理通知书</w:t>
            </w:r>
          </w:p>
        </w:tc>
        <w:tc>
          <w:tcPr>
            <w:tcW w:type="dxa" w:w="3120"/>
          </w:tcPr>
          <w:p>
            <w:pPr>
              <w:spacing w:line="288" w:lineRule="auto"/>
            </w:pPr>
            <w:r/>
            <w:r>
              <w:rPr>
                <w:rFonts w:ascii="Times New Roman" w:hAnsi="Times New Roman" w:eastAsia="SimSun"/>
                <w:b w:val="0"/>
                <w:sz w:val="21"/>
              </w:rPr>
              <w:t>【原管理人】对变更有异议的（《指引3号》第八条）</w:t>
            </w:r>
          </w:p>
        </w:tc>
        <w:tc>
          <w:tcPr>
            <w:tcW w:type="dxa" w:w="3120"/>
          </w:tcPr>
          <w:p>
            <w:pPr>
              <w:spacing w:line="288" w:lineRule="auto"/>
            </w:pPr>
            <w:r/>
            <w:r>
              <w:rPr>
                <w:rFonts w:ascii="Times New Roman" w:hAnsi="Times New Roman" w:eastAsia="SimSun"/>
                <w:b w:val="0"/>
                <w:sz w:val="21"/>
              </w:rPr>
              <w:t>【原管理人】自收到通知后5个工作日内提交不同意变更的说明材料，并在20个工作日内提交人民法院受理案件通知书或仲裁受理通知书，协会中止办理；逾期未提交的恢复办理</w:t>
            </w:r>
          </w:p>
        </w:tc>
      </w:tr>
    </w:tbl>
    <w:p>
      <w:pPr>
        <w:spacing w:line="300" w:lineRule="auto" w:after="60"/>
        <w:jc w:val="both"/>
      </w:pPr>
      <w:r>
        <w:rPr>
          <w:rFonts w:ascii="Times New Roman" w:hAnsi="Times New Roman" w:eastAsia="SimSun"/>
          <w:b w:val="0"/>
          <w:color w:val="7F7F7F"/>
          <w:sz w:val="21"/>
        </w:rPr>
        <w:t>【拟稿注：报送主体为【原管理人】（经登记备案电子系统报送）并由【新管理人】在系统内确认，《指引3号》第七条特殊情形改由【新管理人】报送。材料内部不一致易导致被要求补正：决议表决比例与基金合同约定、变更原因说明与决议表述、工商登记合伙人信息与合伙协议记载，三组口径务必逐一对齐后再报送；任何一处不一致都可能导致整套材料退回，重报时10个工作日时限压力更大。】</w:t>
      </w:r>
    </w:p>
    <w:p>
      <w:pPr>
        <w:spacing w:line="341" w:lineRule="auto" w:before="200" w:after="120"/>
      </w:pPr>
      <w:r>
        <w:rPr>
          <w:rFonts w:ascii="Times New Roman" w:hAnsi="Times New Roman" w:eastAsia="SimHei"/>
          <w:b/>
          <w:sz w:val="28"/>
        </w:rPr>
        <w:t>第四部分　《登记备案办法》第五十五条线（不变更管理人）材料要点表</w:t>
      </w:r>
    </w:p>
    <w:tbl>
      <w:tblPr>
        <w:tblStyle w:val="TableGrid"/>
        <w:tblW w:type="auto" w:w="0"/>
        <w:tblLook w:firstColumn="1" w:firstRow="1" w:lastColumn="0" w:lastRow="0" w:noHBand="0" w:noVBand="1" w:val="04A0"/>
      </w:tblPr>
      <w:tblGrid>
        <w:gridCol w:w="4680"/>
        <w:gridCol w:w="4680"/>
      </w:tblGrid>
      <w:tr>
        <w:tc>
          <w:tcPr>
            <w:tcW w:type="dxa" w:w="4680"/>
          </w:tcPr>
          <w:p>
            <w:pPr>
              <w:spacing w:line="288" w:lineRule="auto"/>
            </w:pPr>
            <w:r/>
            <w:r>
              <w:rPr>
                <w:rFonts w:ascii="Times New Roman" w:hAnsi="Times New Roman" w:eastAsia="SimHei"/>
                <w:b/>
                <w:sz w:val="21"/>
              </w:rPr>
              <w:t>材料名称</w:t>
            </w:r>
          </w:p>
        </w:tc>
        <w:tc>
          <w:tcPr>
            <w:tcW w:type="dxa" w:w="4680"/>
          </w:tcPr>
          <w:p>
            <w:pPr>
              <w:spacing w:line="288" w:lineRule="auto"/>
            </w:pPr>
            <w:r/>
            <w:r>
              <w:rPr>
                <w:rFonts w:ascii="Times New Roman" w:hAnsi="Times New Roman" w:eastAsia="SimHei"/>
                <w:b/>
                <w:sz w:val="21"/>
              </w:rPr>
              <w:t>内容与签章要点</w:t>
            </w:r>
          </w:p>
        </w:tc>
      </w:tr>
      <w:tr>
        <w:tc>
          <w:tcPr>
            <w:tcW w:type="dxa" w:w="4680"/>
          </w:tcPr>
          <w:p>
            <w:pPr>
              <w:spacing w:line="288" w:lineRule="auto"/>
            </w:pPr>
            <w:r/>
            <w:r>
              <w:rPr>
                <w:rFonts w:ascii="Times New Roman" w:hAnsi="Times New Roman" w:eastAsia="SimSun"/>
                <w:b w:val="0"/>
                <w:sz w:val="21"/>
              </w:rPr>
              <w:t>变更决议文件</w:t>
            </w:r>
          </w:p>
        </w:tc>
        <w:tc>
          <w:tcPr>
            <w:tcW w:type="dxa" w:w="4680"/>
          </w:tcPr>
          <w:p>
            <w:pPr>
              <w:spacing w:line="288" w:lineRule="auto"/>
            </w:pPr>
            <w:r/>
            <w:r>
              <w:rPr>
                <w:rFonts w:ascii="Times New Roman" w:hAnsi="Times New Roman" w:eastAsia="SimSun"/>
                <w:b w:val="0"/>
                <w:sz w:val="21"/>
              </w:rPr>
              <w:t>全体合伙人（或按合伙协议约定程序）就本次份额转让、受让方入伙、执行事务合伙人变更等事项作出的决议或一致同意文件，载明表决情况与生效日期，签章完整并注明日期</w:t>
            </w:r>
          </w:p>
        </w:tc>
      </w:tr>
      <w:tr>
        <w:tc>
          <w:tcPr>
            <w:tcW w:type="dxa" w:w="4680"/>
          </w:tcPr>
          <w:p>
            <w:pPr>
              <w:spacing w:line="288" w:lineRule="auto"/>
            </w:pPr>
            <w:r/>
            <w:r>
              <w:rPr>
                <w:rFonts w:ascii="Times New Roman" w:hAnsi="Times New Roman" w:eastAsia="SimSun"/>
                <w:b w:val="0"/>
                <w:sz w:val="21"/>
              </w:rPr>
              <w:t>变更事项说明函</w:t>
            </w:r>
          </w:p>
        </w:tc>
        <w:tc>
          <w:tcPr>
            <w:tcW w:type="dxa" w:w="4680"/>
          </w:tcPr>
          <w:p>
            <w:pPr>
              <w:spacing w:line="288" w:lineRule="auto"/>
            </w:pPr>
            <w:r/>
            <w:r>
              <w:rPr>
                <w:rFonts w:ascii="Times New Roman" w:hAnsi="Times New Roman" w:eastAsia="SimSun"/>
                <w:b w:val="0"/>
                <w:sz w:val="21"/>
              </w:rPr>
              <w:t>说明变更事项、原因、发生时间及对基金运行和投资者利益的影响，加盖管理人公章</w:t>
            </w:r>
          </w:p>
        </w:tc>
      </w:tr>
      <w:tr>
        <w:tc>
          <w:tcPr>
            <w:tcW w:type="dxa" w:w="4680"/>
          </w:tcPr>
          <w:p>
            <w:pPr>
              <w:spacing w:line="288" w:lineRule="auto"/>
            </w:pPr>
            <w:r/>
            <w:r>
              <w:rPr>
                <w:rFonts w:ascii="Times New Roman" w:hAnsi="Times New Roman" w:eastAsia="SimSun"/>
                <w:b w:val="0"/>
                <w:sz w:val="21"/>
              </w:rPr>
              <w:t>合伙协议之补充协议或修正案</w:t>
            </w:r>
          </w:p>
        </w:tc>
        <w:tc>
          <w:tcPr>
            <w:tcW w:type="dxa" w:w="4680"/>
          </w:tcPr>
          <w:p>
            <w:pPr>
              <w:spacing w:line="288" w:lineRule="auto"/>
            </w:pPr>
            <w:r/>
            <w:r>
              <w:rPr>
                <w:rFonts w:ascii="Times New Roman" w:hAnsi="Times New Roman" w:eastAsia="SimSun"/>
                <w:b w:val="0"/>
                <w:sz w:val="21"/>
              </w:rPr>
              <w:t>涉及合伙协议修改的（合伙人变更必然涉及），提交经全体合伙人一致同意签署的补充协议或修正案；合伙协议对修改程序另有约定的，从其约定（《合伙企业法》第十九条第二款、第二十四条）</w:t>
            </w:r>
          </w:p>
        </w:tc>
      </w:tr>
      <w:tr>
        <w:tc>
          <w:tcPr>
            <w:tcW w:type="dxa" w:w="4680"/>
          </w:tcPr>
          <w:p>
            <w:pPr>
              <w:spacing w:line="288" w:lineRule="auto"/>
            </w:pPr>
            <w:r/>
            <w:r>
              <w:rPr>
                <w:rFonts w:ascii="Times New Roman" w:hAnsi="Times New Roman" w:eastAsia="SimSun"/>
                <w:b w:val="0"/>
                <w:sz w:val="21"/>
              </w:rPr>
              <w:t>工商变更后信息</w:t>
            </w:r>
          </w:p>
        </w:tc>
        <w:tc>
          <w:tcPr>
            <w:tcW w:type="dxa" w:w="4680"/>
          </w:tcPr>
          <w:p>
            <w:pPr>
              <w:spacing w:line="288" w:lineRule="auto"/>
            </w:pPr>
            <w:r/>
            <w:r>
              <w:rPr>
                <w:rFonts w:ascii="Times New Roman" w:hAnsi="Times New Roman" w:eastAsia="SimSun"/>
                <w:b w:val="0"/>
                <w:sz w:val="21"/>
              </w:rPr>
              <w:t>完成市场主体变更登记后的登记信息，合伙人及执行事务合伙人信息应与修改后合伙协议一致</w:t>
            </w:r>
          </w:p>
        </w:tc>
      </w:tr>
    </w:tbl>
    <w:p>
      <w:pPr>
        <w:spacing w:line="300" w:lineRule="auto" w:after="60"/>
        <w:jc w:val="both"/>
      </w:pPr>
      <w:r>
        <w:rPr>
          <w:rFonts w:ascii="Times New Roman" w:hAnsi="Times New Roman" w:eastAsia="SimSun"/>
          <w:b w:val="0"/>
          <w:color w:val="7F7F7F"/>
          <w:sz w:val="21"/>
        </w:rPr>
        <w:t>【拟稿注：本线依据《指引2号》第二十七条：发生《登记备案办法》第五十五条信息变更的，10个工作日内报送变更决议文件、变更事项说明函及相应变更材料——其中相应变更材料按实际变更事项对应准备，本表所列为份额转让场景的典型组合。基金持有的被投企业股权、财产份额另发生变更的，按《登记备案办法》第三十七条及时办理投资确权，与本线申报分头进行。】</w:t>
      </w:r>
    </w:p>
    <w:p>
      <w:pPr>
        <w:spacing w:line="341" w:lineRule="auto" w:before="200" w:after="120"/>
      </w:pPr>
      <w:r>
        <w:rPr>
          <w:rFonts w:ascii="Times New Roman" w:hAnsi="Times New Roman" w:eastAsia="SimHei"/>
          <w:b/>
          <w:sz w:val="28"/>
        </w:rPr>
        <w:t>第五部分　特殊情形与后果提示表</w:t>
      </w:r>
    </w:p>
    <w:tbl>
      <w:tblPr>
        <w:tblStyle w:val="TableGrid"/>
        <w:tblW w:type="auto" w:w="0"/>
        <w:tblLook w:firstColumn="1" w:firstRow="1" w:lastColumn="0" w:lastRow="0" w:noHBand="0" w:noVBand="1" w:val="04A0"/>
      </w:tblPr>
      <w:tblGrid>
        <w:gridCol w:w="3120"/>
        <w:gridCol w:w="3120"/>
        <w:gridCol w:w="3120"/>
      </w:tblGrid>
      <w:tr>
        <w:tc>
          <w:tcPr>
            <w:tcW w:type="dxa" w:w="3120"/>
          </w:tcPr>
          <w:p>
            <w:pPr>
              <w:spacing w:line="288" w:lineRule="auto"/>
            </w:pPr>
            <w:r/>
            <w:r>
              <w:rPr>
                <w:rFonts w:ascii="Times New Roman" w:hAnsi="Times New Roman" w:eastAsia="SimHei"/>
                <w:b/>
                <w:sz w:val="21"/>
              </w:rPr>
              <w:t>情形</w:t>
            </w:r>
          </w:p>
        </w:tc>
        <w:tc>
          <w:tcPr>
            <w:tcW w:type="dxa" w:w="3120"/>
          </w:tcPr>
          <w:p>
            <w:pPr>
              <w:spacing w:line="288" w:lineRule="auto"/>
            </w:pPr>
            <w:r/>
            <w:r>
              <w:rPr>
                <w:rFonts w:ascii="Times New Roman" w:hAnsi="Times New Roman" w:eastAsia="SimHei"/>
                <w:b/>
                <w:sz w:val="21"/>
              </w:rPr>
              <w:t>适用规则</w:t>
            </w:r>
          </w:p>
        </w:tc>
        <w:tc>
          <w:tcPr>
            <w:tcW w:type="dxa" w:w="3120"/>
          </w:tcPr>
          <w:p>
            <w:pPr>
              <w:spacing w:line="288" w:lineRule="auto"/>
            </w:pPr>
            <w:r/>
            <w:r>
              <w:rPr>
                <w:rFonts w:ascii="Times New Roman" w:hAnsi="Times New Roman" w:eastAsia="SimHei"/>
                <w:b/>
                <w:sz w:val="21"/>
              </w:rPr>
              <w:t>要点与后果</w:t>
            </w:r>
          </w:p>
        </w:tc>
      </w:tr>
      <w:tr>
        <w:tc>
          <w:tcPr>
            <w:tcW w:type="dxa" w:w="3120"/>
          </w:tcPr>
          <w:p>
            <w:pPr>
              <w:spacing w:line="288" w:lineRule="auto"/>
            </w:pPr>
            <w:r/>
            <w:r>
              <w:rPr>
                <w:rFonts w:ascii="Times New Roman" w:hAnsi="Times New Roman" w:eastAsia="SimSun"/>
                <w:b w:val="0"/>
                <w:sz w:val="21"/>
              </w:rPr>
              <w:t>【原管理人】依法解散注销、被注销撤销管理人登记、失联、决议后不予配合等特殊情形</w:t>
            </w:r>
          </w:p>
        </w:tc>
        <w:tc>
          <w:tcPr>
            <w:tcW w:type="dxa" w:w="3120"/>
          </w:tcPr>
          <w:p>
            <w:pPr>
              <w:spacing w:line="288" w:lineRule="auto"/>
            </w:pPr>
            <w:r/>
            <w:r>
              <w:rPr>
                <w:rFonts w:ascii="Times New Roman" w:hAnsi="Times New Roman" w:eastAsia="SimSun"/>
                <w:b w:val="0"/>
                <w:sz w:val="21"/>
              </w:rPr>
              <w:t>《指引3号》第七条</w:t>
            </w:r>
          </w:p>
        </w:tc>
        <w:tc>
          <w:tcPr>
            <w:tcW w:type="dxa" w:w="3120"/>
          </w:tcPr>
          <w:p>
            <w:pPr>
              <w:spacing w:line="288" w:lineRule="auto"/>
            </w:pPr>
            <w:r/>
            <w:r>
              <w:rPr>
                <w:rFonts w:ascii="Times New Roman" w:hAnsi="Times New Roman" w:eastAsia="SimSun"/>
                <w:b w:val="0"/>
                <w:sz w:val="21"/>
              </w:rPr>
              <w:t>由【新管理人】报送；除全体投资者一致同意变更外，变更程序应经公证机关公证或由中国证监会备案的律师事务所出具专项法律意见书，且须对投资者会议召集及决议程序合规性发表明确结论性意见</w:t>
            </w:r>
          </w:p>
        </w:tc>
      </w:tr>
      <w:tr>
        <w:tc>
          <w:tcPr>
            <w:tcW w:type="dxa" w:w="3120"/>
          </w:tcPr>
          <w:p>
            <w:pPr>
              <w:spacing w:line="288" w:lineRule="auto"/>
            </w:pPr>
            <w:r/>
            <w:r>
              <w:rPr>
                <w:rFonts w:ascii="Times New Roman" w:hAnsi="Times New Roman" w:eastAsia="SimSun"/>
                <w:b w:val="0"/>
                <w:sz w:val="21"/>
              </w:rPr>
              <w:t>【原管理人】对变更有异议</w:t>
            </w:r>
          </w:p>
        </w:tc>
        <w:tc>
          <w:tcPr>
            <w:tcW w:type="dxa" w:w="3120"/>
          </w:tcPr>
          <w:p>
            <w:pPr>
              <w:spacing w:line="288" w:lineRule="auto"/>
            </w:pPr>
            <w:r/>
            <w:r>
              <w:rPr>
                <w:rFonts w:ascii="Times New Roman" w:hAnsi="Times New Roman" w:eastAsia="SimSun"/>
                <w:b w:val="0"/>
                <w:sz w:val="21"/>
              </w:rPr>
              <w:t>《指引3号》第八条</w:t>
            </w:r>
          </w:p>
        </w:tc>
        <w:tc>
          <w:tcPr>
            <w:tcW w:type="dxa" w:w="3120"/>
          </w:tcPr>
          <w:p>
            <w:pPr>
              <w:spacing w:line="288" w:lineRule="auto"/>
            </w:pPr>
            <w:r/>
            <w:r>
              <w:rPr>
                <w:rFonts w:ascii="Times New Roman" w:hAnsi="Times New Roman" w:eastAsia="SimSun"/>
                <w:b w:val="0"/>
                <w:sz w:val="21"/>
              </w:rPr>
              <w:t>自收到通知后5个工作日内提交不同意变更的说明材料，并在20个工作日内提交人民法院受理案件通知书或仲裁受理通知书，协会中止办理；逾期未提交的恢复办理</w:t>
            </w:r>
          </w:p>
        </w:tc>
      </w:tr>
      <w:tr>
        <w:tc>
          <w:tcPr>
            <w:tcW w:type="dxa" w:w="3120"/>
          </w:tcPr>
          <w:p>
            <w:pPr>
              <w:spacing w:line="288" w:lineRule="auto"/>
            </w:pPr>
            <w:r/>
            <w:r>
              <w:rPr>
                <w:rFonts w:ascii="Times New Roman" w:hAnsi="Times New Roman" w:eastAsia="SimSun"/>
                <w:b w:val="0"/>
                <w:sz w:val="21"/>
              </w:rPr>
              <w:t>登记备案信息变更未按规定及时履行变更手续，且存在未及时改正等严重情形</w:t>
            </w:r>
          </w:p>
        </w:tc>
        <w:tc>
          <w:tcPr>
            <w:tcW w:type="dxa" w:w="3120"/>
          </w:tcPr>
          <w:p>
            <w:pPr>
              <w:spacing w:line="288" w:lineRule="auto"/>
            </w:pPr>
            <w:r/>
            <w:r>
              <w:rPr>
                <w:rFonts w:ascii="Times New Roman" w:hAnsi="Times New Roman" w:eastAsia="SimSun"/>
                <w:b w:val="0"/>
                <w:sz w:val="21"/>
              </w:rPr>
              <w:t>《登记备案办法》第四十二条第（六）项</w:t>
            </w:r>
          </w:p>
        </w:tc>
        <w:tc>
          <w:tcPr>
            <w:tcW w:type="dxa" w:w="3120"/>
          </w:tcPr>
          <w:p>
            <w:pPr>
              <w:spacing w:line="288" w:lineRule="auto"/>
            </w:pPr>
            <w:r/>
            <w:r>
              <w:rPr>
                <w:rFonts w:ascii="Times New Roman" w:hAnsi="Times New Roman" w:eastAsia="SimSun"/>
                <w:b w:val="0"/>
                <w:sz w:val="21"/>
              </w:rPr>
              <w:t>协会暂停办理其私募基金备案——影响的是管理人名下全部产品的新增备案，代价远超一次变更手续本身</w:t>
            </w:r>
          </w:p>
        </w:tc>
      </w:tr>
      <w:tr>
        <w:tc>
          <w:tcPr>
            <w:tcW w:type="dxa" w:w="3120"/>
          </w:tcPr>
          <w:p>
            <w:pPr>
              <w:spacing w:line="288" w:lineRule="auto"/>
            </w:pPr>
            <w:r/>
            <w:r>
              <w:rPr>
                <w:rFonts w:ascii="Times New Roman" w:hAnsi="Times New Roman" w:eastAsia="SimSun"/>
                <w:b w:val="0"/>
                <w:sz w:val="21"/>
              </w:rPr>
              <w:t>【转让方】为国有及国有控股、国有实际控制主体</w:t>
            </w:r>
          </w:p>
        </w:tc>
        <w:tc>
          <w:tcPr>
            <w:tcW w:type="dxa" w:w="3120"/>
          </w:tcPr>
          <w:p>
            <w:pPr>
              <w:spacing w:line="288" w:lineRule="auto"/>
            </w:pPr>
            <w:r/>
            <w:r>
              <w:rPr>
                <w:rFonts w:ascii="Times New Roman" w:hAnsi="Times New Roman" w:eastAsia="SimSun"/>
                <w:b w:val="0"/>
                <w:sz w:val="21"/>
              </w:rPr>
              <w:t>《32号令》第十三条、第三十一条</w:t>
            </w:r>
          </w:p>
        </w:tc>
        <w:tc>
          <w:tcPr>
            <w:tcW w:type="dxa" w:w="3120"/>
          </w:tcPr>
          <w:p>
            <w:pPr>
              <w:spacing w:line="288" w:lineRule="auto"/>
            </w:pPr>
            <w:r/>
            <w:r>
              <w:rPr>
                <w:rFonts w:ascii="Times New Roman" w:hAnsi="Times New Roman" w:eastAsia="SimSun"/>
                <w:b w:val="0"/>
                <w:sz w:val="21"/>
              </w:rPr>
              <w:t>产权转让原则上通过产权市场公开进行，正式披露信息时间不得少于20个工作日；符合规定情形的可采取非公开协议转让方式；是否属于须进场交易的国有产权及评估、审批等配套要求，应事先向履行出资人职责的机构及产权交易机构逐项确认</w:t>
            </w:r>
          </w:p>
        </w:tc>
      </w:tr>
      <w:tr>
        <w:tc>
          <w:tcPr>
            <w:tcW w:type="dxa" w:w="3120"/>
          </w:tcPr>
          <w:p>
            <w:pPr>
              <w:spacing w:line="288" w:lineRule="auto"/>
            </w:pPr>
            <w:r/>
            <w:r>
              <w:rPr>
                <w:rFonts w:ascii="Times New Roman" w:hAnsi="Times New Roman" w:eastAsia="SimSun"/>
                <w:b w:val="0"/>
                <w:sz w:val="21"/>
              </w:rPr>
              <w:t>【受让方】涉外资（外国投资者、外商投资企业等）</w:t>
            </w:r>
          </w:p>
        </w:tc>
        <w:tc>
          <w:tcPr>
            <w:tcW w:type="dxa" w:w="3120"/>
          </w:tcPr>
          <w:p>
            <w:pPr>
              <w:spacing w:line="288" w:lineRule="auto"/>
            </w:pPr>
            <w:r/>
            <w:r>
              <w:rPr>
                <w:rFonts w:ascii="Times New Roman" w:hAnsi="Times New Roman" w:eastAsia="SimSun"/>
                <w:b w:val="0"/>
                <w:sz w:val="21"/>
              </w:rPr>
              <w:t>属地核实提示</w:t>
            </w:r>
          </w:p>
        </w:tc>
        <w:tc>
          <w:tcPr>
            <w:tcW w:type="dxa" w:w="3120"/>
          </w:tcPr>
          <w:p>
            <w:pPr>
              <w:spacing w:line="288" w:lineRule="auto"/>
            </w:pPr>
            <w:r/>
            <w:r>
              <w:rPr>
                <w:rFonts w:ascii="Times New Roman" w:hAnsi="Times New Roman" w:eastAsia="SimSun"/>
                <w:b w:val="0"/>
                <w:sz w:val="21"/>
              </w:rPr>
              <w:t>涉及QFLP试点资格、外商投资信息报告等事项的，以基金所在地及受让方设立地主管部门现行口径为准，签约前逐项核实（本指引不展开）</w:t>
            </w:r>
          </w:p>
        </w:tc>
      </w:tr>
    </w:tbl>
    <w:p>
      <w:pPr>
        <w:spacing w:line="300" w:lineRule="auto" w:after="60"/>
        <w:jc w:val="both"/>
      </w:pPr>
      <w:r>
        <w:rPr>
          <w:rFonts w:ascii="Times New Roman" w:hAnsi="Times New Roman" w:eastAsia="SimSun"/>
          <w:b w:val="0"/>
          <w:color w:val="7F7F7F"/>
          <w:sz w:val="21"/>
        </w:rPr>
        <w:t>【拟稿注：本部分系触发式提示：前三行是程序内风险（不配合、异议、逾期），后两行是主体身份附加的前置程序（国资进场、外资核实）。国资转让方未履行进场或批准程序即签约的，可能引发交易效力争议及国资监管追责，个案务必先确认交易路径再签署转让文件；外资受让还可能影响基金的投资范围与既有资格，应在签约前而非协会报送时核实。程序内风险的最优对策是把本文书包各函件的送达凭证、签收回执、决议原件从一开始就按证据标准留存，使《指引3号》第七条、第八条程序随时可以接续。】</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14_中基协变更备案与工商登记办理指引</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