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投资者会议决议（变更私募基金管理人）</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决议适用于合伙型私募基金经投资者会议（合伙型基金即全体合伙人组成的合伙人会议）决议变更私募基金管理人的情形。起草前必查基金合同（合伙协议）关于变更管理人的召集主体、通知期限与方式、召开方式、表决方式与表决比例的约定，本决议各程序要素应逐项与合同约定对号记载。依据《私募投资基金备案指引第3号——私募投资基金变更管理人》第七条，在原管理人不予配合等情形下，除全体投资者一致同意变更外，变更程序应当经公证机关公证或者由中国证监会备案的律师事务所出具专项法律意见书，且公证书或专项法律意见书须对投资者会议召集及决议程序合规性发表明确结论性意见——故本决议的召集、通知、出席、表决等程序要素务必记载完整，会议通知、送达凭证、签到表、表决票、授权委托书均应留存备查。】</w:t>
      </w:r>
    </w:p>
    <w:p>
      <w:pPr>
        <w:spacing w:line="341" w:lineRule="auto" w:before="200" w:after="120"/>
      </w:pPr>
      <w:r>
        <w:rPr>
          <w:rFonts w:ascii="Times New Roman" w:hAnsi="Times New Roman" w:eastAsia="SimHei"/>
          <w:b/>
          <w:sz w:val="28"/>
        </w:rPr>
        <w:t>一、会议召集与程序</w:t>
      </w:r>
    </w:p>
    <w:p>
      <w:pPr>
        <w:spacing w:line="319" w:lineRule="auto" w:after="40"/>
        <w:jc w:val="both"/>
      </w:pPr>
      <w:r>
        <w:rPr>
          <w:rFonts w:ascii="Times New Roman" w:hAnsi="Times New Roman" w:eastAsia="SimSun"/>
          <w:b w:val="0"/>
          <w:sz w:val="24"/>
        </w:rPr>
        <w:t>1、召集主体：【●】（按基金合同第【●】条约定，如执行事务合伙人、持有基金份额【●】%以上的投资者等）。</w:t>
      </w:r>
    </w:p>
    <w:p>
      <w:pPr>
        <w:spacing w:line="319" w:lineRule="auto" w:after="40"/>
        <w:jc w:val="both"/>
      </w:pPr>
      <w:r>
        <w:rPr>
          <w:rFonts w:ascii="Times New Roman" w:hAnsi="Times New Roman" w:eastAsia="SimSun"/>
          <w:b w:val="0"/>
          <w:sz w:val="24"/>
        </w:rPr>
        <w:t>2、会议通知：召集人已于【●】年【●】月【●】日以【●】方式（书面送达、电子邮件或基金合同约定的其他方式）向全体投资者发出会议通知，通知时间符合基金合同第【●】条约定的提前【●】日要求，送达凭证已留存。</w:t>
      </w:r>
    </w:p>
    <w:p>
      <w:pPr>
        <w:spacing w:line="319" w:lineRule="auto" w:after="40"/>
        <w:jc w:val="both"/>
      </w:pPr>
      <w:r>
        <w:rPr>
          <w:rFonts w:ascii="Times New Roman" w:hAnsi="Times New Roman" w:eastAsia="SimSun"/>
          <w:b w:val="0"/>
          <w:sz w:val="24"/>
        </w:rPr>
        <w:t>3、召开时间与方式：【●】年【●】月【●】日，以【现场／通讯／现场与通讯相结合】方式召开。</w:t>
      </w:r>
    </w:p>
    <w:p>
      <w:pPr>
        <w:spacing w:line="319" w:lineRule="auto" w:after="40"/>
        <w:jc w:val="both"/>
      </w:pPr>
      <w:r>
        <w:rPr>
          <w:rFonts w:ascii="Times New Roman" w:hAnsi="Times New Roman" w:eastAsia="SimSun"/>
          <w:b w:val="0"/>
          <w:sz w:val="24"/>
        </w:rPr>
        <w:t>4、出席情况：出席（含委托出席）本次会议的投资者共【●】名，合计持有基金份额占基金份额总额的【●】%，符合基金合同第【●】条关于会议召开条件的约定。</w:t>
      </w:r>
    </w:p>
    <w:p>
      <w:pPr>
        <w:spacing w:line="341" w:lineRule="auto" w:before="200" w:after="120"/>
      </w:pPr>
      <w:r>
        <w:rPr>
          <w:rFonts w:ascii="Times New Roman" w:hAnsi="Times New Roman" w:eastAsia="SimHei"/>
          <w:b/>
          <w:sz w:val="28"/>
        </w:rPr>
        <w:t>二、决议事项</w:t>
      </w:r>
    </w:p>
    <w:p>
      <w:pPr>
        <w:spacing w:line="319" w:lineRule="auto" w:after="40"/>
        <w:jc w:val="both"/>
      </w:pPr>
      <w:r>
        <w:rPr>
          <w:rFonts w:ascii="Times New Roman" w:hAnsi="Times New Roman" w:eastAsia="SimSun"/>
          <w:b w:val="0"/>
          <w:sz w:val="24"/>
        </w:rPr>
        <w:t>经出席会议的投资者审议并表决，作出如下决议：</w:t>
      </w:r>
    </w:p>
    <w:p>
      <w:pPr>
        <w:spacing w:line="319" w:lineRule="auto" w:after="40"/>
        <w:jc w:val="both"/>
      </w:pPr>
      <w:r>
        <w:rPr>
          <w:rFonts w:ascii="Times New Roman" w:hAnsi="Times New Roman" w:eastAsia="SimSun"/>
          <w:b w:val="0"/>
          <w:sz w:val="24"/>
        </w:rPr>
        <w:t>（一）同意解任【原管理人】的【基金】私募基金管理人职务；</w:t>
      </w:r>
    </w:p>
    <w:p>
      <w:pPr>
        <w:spacing w:line="319" w:lineRule="auto" w:after="40"/>
        <w:jc w:val="both"/>
      </w:pPr>
      <w:r>
        <w:rPr>
          <w:rFonts w:ascii="Times New Roman" w:hAnsi="Times New Roman" w:eastAsia="SimSun"/>
          <w:b w:val="0"/>
          <w:sz w:val="24"/>
        </w:rPr>
        <w:t>（二）同意聘任【新管理人】担任【基金】的私募基金管理人；</w:t>
      </w:r>
    </w:p>
    <w:p>
      <w:pPr>
        <w:spacing w:line="319" w:lineRule="auto" w:after="40"/>
        <w:jc w:val="both"/>
      </w:pPr>
      <w:r>
        <w:rPr>
          <w:rFonts w:ascii="Times New Roman" w:hAnsi="Times New Roman" w:eastAsia="SimSun"/>
          <w:b w:val="0"/>
          <w:sz w:val="24"/>
        </w:rPr>
        <w:t>（三）同意【基金】及相关方签署新基金合同、委托管理协议（如有）以及《变更私募基金管理人协议》（本包10号文书）；</w:t>
      </w:r>
    </w:p>
    <w:p>
      <w:pPr>
        <w:spacing w:line="319" w:lineRule="auto" w:after="40"/>
        <w:jc w:val="both"/>
      </w:pPr>
      <w:r>
        <w:rPr>
          <w:rFonts w:ascii="Times New Roman" w:hAnsi="Times New Roman" w:eastAsia="SimSun"/>
          <w:b w:val="0"/>
          <w:sz w:val="24"/>
        </w:rPr>
        <w:t>（四）同意并授权【●】自本决议生效之日起【●】个工作日内，将本次变更事项书面通知【原管理人】（通知文件可采用本包13号文书模板二），并留存送达凭证；</w:t>
      </w:r>
    </w:p>
    <w:p>
      <w:pPr>
        <w:spacing w:line="319" w:lineRule="auto" w:after="40"/>
        <w:jc w:val="both"/>
      </w:pPr>
      <w:r>
        <w:rPr>
          <w:rFonts w:ascii="Times New Roman" w:hAnsi="Times New Roman" w:eastAsia="SimSun"/>
          <w:b w:val="0"/>
          <w:sz w:val="24"/>
        </w:rPr>
        <w:t>（五）授权【●】办理本次变更相关的协会登记备案变更手续、市场主体变更登记（如涉及）及其他配套手续，并代表签署相关文件。</w:t>
      </w:r>
    </w:p>
    <w:p>
      <w:pPr>
        <w:spacing w:line="300" w:lineRule="auto" w:after="60"/>
        <w:jc w:val="both"/>
      </w:pPr>
      <w:r>
        <w:rPr>
          <w:rFonts w:ascii="Times New Roman" w:hAnsi="Times New Roman" w:eastAsia="SimSun"/>
          <w:b w:val="0"/>
          <w:color w:val="7F7F7F"/>
          <w:sz w:val="21"/>
        </w:rPr>
        <w:t>【拟稿注：第（四）项对应《私募投资基金备案指引第3号——私募投资基金变更管理人》第四条关于经投资者会议变更或者解任管理人后投资者应当及时通知原管理人的要求；通知及其送达凭证既是协会办理变更手续的衔接材料，也是应对原管理人异议程序（该指引第八条）的关键证据，应指定专人保管。】</w:t>
      </w:r>
    </w:p>
    <w:p>
      <w:pPr>
        <w:spacing w:line="341" w:lineRule="auto" w:before="200" w:after="120"/>
      </w:pPr>
      <w:r>
        <w:rPr>
          <w:rFonts w:ascii="Times New Roman" w:hAnsi="Times New Roman" w:eastAsia="SimHei"/>
          <w:b/>
          <w:sz w:val="28"/>
        </w:rPr>
        <w:t>三、表决结果</w:t>
      </w:r>
    </w:p>
    <w:p>
      <w:pPr>
        <w:spacing w:line="319" w:lineRule="auto" w:after="40"/>
        <w:jc w:val="both"/>
      </w:pPr>
      <w:r>
        <w:rPr>
          <w:rFonts w:ascii="Times New Roman" w:hAnsi="Times New Roman" w:eastAsia="SimSun"/>
          <w:b w:val="0"/>
          <w:sz w:val="24"/>
        </w:rPr>
        <w:t>1、同意上述决议事项的投资者合计持有基金份额占基金份额总额的【●】%；反对的占【●】%；弃权的占【●】%。</w:t>
      </w:r>
    </w:p>
    <w:p>
      <w:pPr>
        <w:spacing w:line="319" w:lineRule="auto" w:after="40"/>
        <w:jc w:val="both"/>
      </w:pPr>
      <w:r>
        <w:rPr>
          <w:rFonts w:ascii="Times New Roman" w:hAnsi="Times New Roman" w:eastAsia="SimSun"/>
          <w:b w:val="0"/>
          <w:sz w:val="24"/>
        </w:rPr>
        <w:t>2、同意比例已达到持有三分之二以上基金份额的投资者同意的要求（法律另有规定或者基金合同另有约定的，从其规定或者约定）。</w:t>
      </w:r>
    </w:p>
    <w:p>
      <w:pPr>
        <w:spacing w:line="300" w:lineRule="auto" w:after="60"/>
        <w:jc w:val="both"/>
      </w:pPr>
      <w:r>
        <w:rPr>
          <w:rFonts w:ascii="Times New Roman" w:hAnsi="Times New Roman" w:eastAsia="SimSun"/>
          <w:b w:val="0"/>
          <w:color w:val="7F7F7F"/>
          <w:sz w:val="21"/>
        </w:rPr>
        <w:t>【拟稿注：三分之二以上基金份额的表决比例来自《私募投资基金备案指引第3号——私募投资基金变更管理人》第四条，属于除法律另有规定或合同另有约定外的缺省规则。起草前应先查基金合同（合伙协议）约定的比例与程序，合同约定优先：约定比例更高的按约定执行；表决基数（按全体份额还是出席份额计算）、关联投资者是否回避表决等均以合同约定为准，本决议记载应与合同条款一一对应，避免决议因程序瑕疵在异议程序或诉讼仲裁中被质疑。】</w:t>
      </w:r>
    </w:p>
    <w:p>
      <w:pPr>
        <w:spacing w:line="341" w:lineRule="auto" w:before="200" w:after="120"/>
      </w:pPr>
      <w:r>
        <w:rPr>
          <w:rFonts w:ascii="Times New Roman" w:hAnsi="Times New Roman" w:eastAsia="SimHei"/>
          <w:b/>
          <w:sz w:val="28"/>
        </w:rPr>
        <w:t>四、决议生效</w:t>
      </w:r>
    </w:p>
    <w:p>
      <w:pPr>
        <w:spacing w:line="319" w:lineRule="auto" w:after="40"/>
        <w:jc w:val="both"/>
      </w:pPr>
      <w:r>
        <w:rPr>
          <w:rFonts w:ascii="Times New Roman" w:hAnsi="Times New Roman" w:eastAsia="SimSun"/>
          <w:b w:val="0"/>
          <w:sz w:val="24"/>
        </w:rPr>
        <w:t>1、本决议自【出席会议投资者按上述表决结果签署之日／基金合同第【●】条约定的生效程序完成之日】生效。</w:t>
      </w:r>
    </w:p>
    <w:p>
      <w:pPr>
        <w:spacing w:line="319" w:lineRule="auto" w:after="40"/>
        <w:jc w:val="both"/>
      </w:pPr>
      <w:r>
        <w:rPr>
          <w:rFonts w:ascii="Times New Roman" w:hAnsi="Times New Roman" w:eastAsia="SimSun"/>
          <w:b w:val="0"/>
          <w:sz w:val="24"/>
        </w:rPr>
        <w:t>2、本决议一式【●】份，由【●】留存备查，并用于向中国证券投资基金业协会报送变更材料。</w:t>
      </w:r>
    </w:p>
    <w:p>
      <w:pPr>
        <w:spacing w:line="319" w:lineRule="auto" w:after="40"/>
        <w:jc w:val="both"/>
      </w:pPr>
      <w:r>
        <w:rPr>
          <w:rFonts w:ascii="Times New Roman" w:hAnsi="Times New Roman" w:eastAsia="SimSun"/>
          <w:b w:val="0"/>
          <w:sz w:val="24"/>
        </w:rPr>
        <w:t>（签署页）</w:t>
      </w:r>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tcPr>
          <w:p>
            <w:pPr>
              <w:spacing w:line="288" w:lineRule="auto"/>
            </w:pPr>
            <w:r/>
            <w:r>
              <w:rPr>
                <w:rFonts w:ascii="Times New Roman" w:hAnsi="Times New Roman" w:eastAsia="SimHei"/>
                <w:b/>
                <w:sz w:val="21"/>
              </w:rPr>
              <w:t>投资者名称或姓名</w:t>
            </w:r>
          </w:p>
        </w:tc>
        <w:tc>
          <w:tcPr>
            <w:tcW w:type="dxa" w:w="1560"/>
          </w:tcPr>
          <w:p>
            <w:pPr>
              <w:spacing w:line="288" w:lineRule="auto"/>
            </w:pPr>
            <w:r/>
            <w:r>
              <w:rPr>
                <w:rFonts w:ascii="Times New Roman" w:hAnsi="Times New Roman" w:eastAsia="SimHei"/>
                <w:b/>
                <w:sz w:val="21"/>
              </w:rPr>
              <w:t>统一社会信用代码或身份证号</w:t>
            </w:r>
          </w:p>
        </w:tc>
        <w:tc>
          <w:tcPr>
            <w:tcW w:type="dxa" w:w="1560"/>
          </w:tcPr>
          <w:p>
            <w:pPr>
              <w:spacing w:line="288" w:lineRule="auto"/>
            </w:pPr>
            <w:r/>
            <w:r>
              <w:rPr>
                <w:rFonts w:ascii="Times New Roman" w:hAnsi="Times New Roman" w:eastAsia="SimHei"/>
                <w:b/>
                <w:sz w:val="21"/>
              </w:rPr>
              <w:t>持有基金份额比例</w:t>
            </w:r>
          </w:p>
        </w:tc>
        <w:tc>
          <w:tcPr>
            <w:tcW w:type="dxa" w:w="1560"/>
          </w:tcPr>
          <w:p>
            <w:pPr>
              <w:spacing w:line="288" w:lineRule="auto"/>
            </w:pPr>
            <w:r/>
            <w:r>
              <w:rPr>
                <w:rFonts w:ascii="Times New Roman" w:hAnsi="Times New Roman" w:eastAsia="SimHei"/>
                <w:b/>
                <w:sz w:val="21"/>
              </w:rPr>
              <w:t>表决意见</w:t>
            </w:r>
          </w:p>
        </w:tc>
        <w:tc>
          <w:tcPr>
            <w:tcW w:type="dxa" w:w="1560"/>
          </w:tcPr>
          <w:p>
            <w:pPr>
              <w:spacing w:line="288" w:lineRule="auto"/>
            </w:pPr>
            <w:r/>
            <w:r>
              <w:rPr>
                <w:rFonts w:ascii="Times New Roman" w:hAnsi="Times New Roman" w:eastAsia="SimHei"/>
                <w:b/>
                <w:sz w:val="21"/>
              </w:rPr>
              <w:t>签字或盖章</w:t>
            </w:r>
          </w:p>
        </w:tc>
        <w:tc>
          <w:tcPr>
            <w:tcW w:type="dxa" w:w="1560"/>
          </w:tcPr>
          <w:p>
            <w:pPr>
              <w:spacing w:line="288" w:lineRule="auto"/>
            </w:pPr>
            <w:r/>
            <w:r>
              <w:rPr>
                <w:rFonts w:ascii="Times New Roman" w:hAnsi="Times New Roman" w:eastAsia="SimHei"/>
                <w:b/>
                <w:sz w:val="21"/>
              </w:rPr>
              <w:t>日期</w:t>
            </w:r>
          </w:p>
        </w:tc>
      </w:tr>
      <w:tr>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同意／反对／弃权</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【●】年【●】月【●】日</w:t>
            </w:r>
          </w:p>
        </w:tc>
      </w:tr>
      <w:tr>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同意／反对／弃权</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【●】年【●】月【●】日</w:t>
            </w:r>
          </w:p>
        </w:tc>
      </w:tr>
      <w:tr>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同意／反对／弃权</w:t>
            </w:r>
          </w:p>
        </w:tc>
        <w:tc>
          <w:tcPr>
            <w:tcW w:type="dxa" w:w="1560"/>
          </w:tcPr>
          <w:p>
            <w:pPr>
              <w:spacing w:line="288" w:lineRule="auto"/>
            </w:pPr>
            <w:r/>
            <w:r>
              <w:rPr>
                <w:rFonts w:ascii="Times New Roman" w:hAnsi="Times New Roman" w:eastAsia="SimSun"/>
                <w:b w:val="0"/>
                <w:sz w:val="21"/>
              </w:rPr>
              <w:t>【●】</w:t>
            </w:r>
          </w:p>
        </w:tc>
        <w:tc>
          <w:tcPr>
            <w:tcW w:type="dxa" w:w="156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召集人（落款）：【●】</w:t>
      </w:r>
    </w:p>
    <w:p>
      <w:pPr>
        <w:spacing w:line="319" w:lineRule="auto" w:after="40"/>
        <w:jc w:val="both"/>
      </w:pPr>
      <w:r>
        <w:rPr>
          <w:rFonts w:ascii="Times New Roman" w:hAnsi="Times New Roman" w:eastAsia="SimSun"/>
          <w:b w:val="0"/>
          <w:sz w:val="24"/>
        </w:rPr>
        <w:t>【●】年【●】月【●】日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11_投资者会议决议（变更私募基金管理人）</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