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变更私募基金管理人协议</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协议适用于已在中国证券投资基金业协会备案的合伙型私募基金变更私募基金管理人的情形，依据《私募投资基金备案指引第3号——私募投资基金变更管理人》第六条设计为原管理人、新管理人、投资者、托管人（如有）共同签署的同意变更协议。使用前应先行查明基金合同（合伙协议）关于变更管理人的决策机制、召集主体、表决方式与表决比例的约定，合同约定优先于缺省规则。注意两道独立程序不可混同：变更管理人的投资者会议同意程序，与合伙人份额转让、执行事务合伙人变更的合伙法同意程序相互独立，同步发生时应分别履行各自的同意、签署与登记手续，并将各节点排成统一时间表。】</w:t>
      </w:r>
    </w:p>
    <w:p>
      <w:pPr>
        <w:spacing w:line="319" w:lineRule="auto" w:after="40"/>
        <w:jc w:val="both"/>
      </w:pPr>
      <w:r>
        <w:rPr>
          <w:rFonts w:ascii="Times New Roman" w:hAnsi="Times New Roman" w:eastAsia="SimSun"/>
          <w:b w:val="0"/>
          <w:sz w:val="24"/>
        </w:rPr>
        <w:t>本协议由以下各方于【●】年【●】月【●】日在【●】签署：</w:t>
      </w:r>
    </w:p>
    <w:p>
      <w:pPr>
        <w:spacing w:line="319" w:lineRule="auto" w:after="40"/>
        <w:jc w:val="both"/>
      </w:pPr>
      <w:r>
        <w:rPr>
          <w:rFonts w:ascii="Times New Roman" w:hAnsi="Times New Roman" w:eastAsia="SimSun"/>
          <w:b w:val="0"/>
          <w:sz w:val="24"/>
        </w:rPr>
        <w:t>原管理人：【原管理人】（私募基金管理人登记编号：【●】）</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新管理人：【新管理人】（私募基金管理人登记编号：【●】）</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基金：【基金】（私募基金备案编码：【●】）</w:t>
      </w:r>
    </w:p>
    <w:p>
      <w:pPr>
        <w:spacing w:line="319" w:lineRule="auto" w:after="40"/>
        <w:jc w:val="both"/>
      </w:pPr>
      <w:r>
        <w:rPr>
          <w:rFonts w:ascii="Times New Roman" w:hAnsi="Times New Roman" w:eastAsia="SimSun"/>
          <w:b w:val="0"/>
          <w:sz w:val="24"/>
        </w:rPr>
        <w:t>执行事务合伙人：【执行事务合伙人】（委派代表：【●】）</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全体投资者：见附件二《投资者名录及签署页》（各投资者的名称或姓名、统一社会信用代码或身份证号、住所、联系电话、电子邮箱按附件二记载）</w:t>
      </w:r>
    </w:p>
    <w:p>
      <w:pPr>
        <w:spacing w:line="300" w:lineRule="auto" w:after="60"/>
        <w:jc w:val="both"/>
      </w:pPr>
      <w:r>
        <w:rPr>
          <w:rFonts w:ascii="Times New Roman" w:hAnsi="Times New Roman" w:eastAsia="SimSun"/>
          <w:b w:val="0"/>
          <w:color w:val="7F7F7F"/>
          <w:sz w:val="21"/>
        </w:rPr>
        <w:t>【拟稿注：全体投资者可逐一签署本协议，亦可经投资者会议决议（可采用本包11号文书）授权代表签署；采授权签署方式的，应将授权决议作为本协议附件三留存，并核对授权范围覆盖本协议全部事项。另据《私募投资基金备案指引第3号——私募投资基金变更管理人》第七条，在原管理人不予配合等情形下，除全体投资者一致同意变更外，变更程序应当经公证机关公证或者由中国证监会备案的律师事务所出具专项法律意见书——签署方式（全体一致签署或授权代表签署）将直接影响后续程序成本，宜在签约前统筹选定。】</w:t>
      </w:r>
    </w:p>
    <w:p>
      <w:pPr>
        <w:spacing w:line="319" w:lineRule="auto" w:after="40"/>
        <w:jc w:val="both"/>
      </w:pPr>
      <w:r>
        <w:rPr>
          <w:rFonts w:ascii="Times New Roman" w:hAnsi="Times New Roman" w:eastAsia="SimSun"/>
          <w:b w:val="0"/>
          <w:sz w:val="24"/>
        </w:rPr>
        <w:t>托管人（如有）：【托管人】</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鉴于：</w:t>
      </w:r>
    </w:p>
    <w:p>
      <w:pPr>
        <w:spacing w:line="319" w:lineRule="auto" w:after="40"/>
        <w:jc w:val="both"/>
      </w:pPr>
      <w:r>
        <w:rPr>
          <w:rFonts w:ascii="Times New Roman" w:hAnsi="Times New Roman" w:eastAsia="SimSun"/>
          <w:b w:val="0"/>
          <w:sz w:val="24"/>
        </w:rPr>
        <w:t>（一）【基金】系依法设立的有限合伙企业，已在中国证券投资基金业协会（以下简称协会）办理私募投资基金备案；</w:t>
      </w:r>
    </w:p>
    <w:p>
      <w:pPr>
        <w:spacing w:line="319" w:lineRule="auto" w:after="40"/>
        <w:jc w:val="both"/>
      </w:pPr>
      <w:r>
        <w:rPr>
          <w:rFonts w:ascii="Times New Roman" w:hAnsi="Times New Roman" w:eastAsia="SimSun"/>
          <w:b w:val="0"/>
          <w:sz w:val="24"/>
        </w:rPr>
        <w:t>（二）【原管理人】为【基金】现任私募基金管理人；【托管人】为【基金】托管人（如无托管安排，删除涉及托管人的相应条款）；</w:t>
      </w:r>
    </w:p>
    <w:p>
      <w:pPr>
        <w:spacing w:line="319" w:lineRule="auto" w:after="40"/>
        <w:jc w:val="both"/>
      </w:pPr>
      <w:r>
        <w:rPr>
          <w:rFonts w:ascii="Times New Roman" w:hAnsi="Times New Roman" w:eastAsia="SimSun"/>
          <w:b w:val="0"/>
          <w:sz w:val="24"/>
        </w:rPr>
        <w:t>（三）【基金】投资者会议已于【●】年【●】月【●】日按照基金合同约定的程序作出决议，同意解任【原管理人】并聘任【新管理人】担任【基金】的私募基金管理人（决议见附件三）；</w:t>
      </w:r>
    </w:p>
    <w:p>
      <w:pPr>
        <w:spacing w:line="319" w:lineRule="auto" w:after="40"/>
        <w:jc w:val="both"/>
      </w:pPr>
      <w:r>
        <w:rPr>
          <w:rFonts w:ascii="Times New Roman" w:hAnsi="Times New Roman" w:eastAsia="SimSun"/>
          <w:b w:val="0"/>
          <w:sz w:val="24"/>
        </w:rPr>
        <w:t>（四）各方愿就本次私募基金管理人变更及管理职责移交事宜订立本协议，共同遵守。</w:t>
      </w:r>
    </w:p>
    <w:p>
      <w:pPr>
        <w:spacing w:line="341" w:lineRule="auto" w:before="200" w:after="120"/>
      </w:pPr>
      <w:r>
        <w:rPr>
          <w:rFonts w:ascii="Times New Roman" w:hAnsi="Times New Roman" w:eastAsia="SimHei"/>
          <w:b/>
          <w:sz w:val="28"/>
        </w:rPr>
        <w:t>第一条　变更背景与原因</w:t>
      </w:r>
    </w:p>
    <w:p>
      <w:pPr>
        <w:spacing w:line="319" w:lineRule="auto" w:after="40"/>
        <w:jc w:val="both"/>
      </w:pPr>
      <w:r>
        <w:rPr>
          <w:rFonts w:ascii="Times New Roman" w:hAnsi="Times New Roman" w:eastAsia="SimSun"/>
          <w:b w:val="0"/>
          <w:sz w:val="24"/>
        </w:rPr>
        <w:t>1、本次变更私募基金管理人的背景与原因为：【●】（例如：原管理人无法履行或者怠于履行管理职责、原管理人拟依法解散、基于基金运作与投资者利益的需要等，按实际情况据实陈述）。</w:t>
      </w:r>
    </w:p>
    <w:p>
      <w:pPr>
        <w:spacing w:line="319" w:lineRule="auto" w:after="40"/>
        <w:jc w:val="both"/>
      </w:pPr>
      <w:r>
        <w:rPr>
          <w:rFonts w:ascii="Times New Roman" w:hAnsi="Times New Roman" w:eastAsia="SimSun"/>
          <w:b w:val="0"/>
          <w:sz w:val="24"/>
        </w:rPr>
        <w:t>2、各方确认，本次变更已按照基金合同约定的决策机制、召集主体、表决方式与表决比例履行投资者会议程序。</w:t>
      </w:r>
    </w:p>
    <w:p>
      <w:pPr>
        <w:spacing w:line="300" w:lineRule="auto" w:after="60"/>
        <w:jc w:val="both"/>
      </w:pPr>
      <w:r>
        <w:rPr>
          <w:rFonts w:ascii="Times New Roman" w:hAnsi="Times New Roman" w:eastAsia="SimSun"/>
          <w:b w:val="0"/>
          <w:color w:val="7F7F7F"/>
          <w:sz w:val="21"/>
        </w:rPr>
        <w:t>【拟稿注：依据《私募投资基金备案指引第3号——私募投资基金变更管理人》第六条，向协会报送变更手续时需说明变更原因及其合理性，本条陈述将成为报送材料的事实基础，应据实、具体，并与投资者会议决议、变更事项说明函等其他报送文件保持一致，相互矛盾的陈述会直接引发协会反馈问询。】</w:t>
      </w:r>
    </w:p>
    <w:p>
      <w:pPr>
        <w:spacing w:line="341" w:lineRule="auto" w:before="200" w:after="120"/>
      </w:pPr>
      <w:r>
        <w:rPr>
          <w:rFonts w:ascii="Times New Roman" w:hAnsi="Times New Roman" w:eastAsia="SimHei"/>
          <w:b/>
          <w:sz w:val="28"/>
        </w:rPr>
        <w:t>第二条　新管理人资格承诺</w:t>
      </w:r>
    </w:p>
    <w:p>
      <w:pPr>
        <w:spacing w:line="319" w:lineRule="auto" w:after="40"/>
        <w:jc w:val="both"/>
      </w:pPr>
      <w:r>
        <w:rPr>
          <w:rFonts w:ascii="Times New Roman" w:hAnsi="Times New Roman" w:eastAsia="SimSun"/>
          <w:b w:val="0"/>
          <w:sz w:val="24"/>
        </w:rPr>
        <w:t>【新管理人】向各方承诺，截至本协议签署日及协会办结本次变更手续之日：</w:t>
      </w:r>
    </w:p>
    <w:p>
      <w:pPr>
        <w:spacing w:line="319" w:lineRule="auto" w:after="40"/>
        <w:jc w:val="both"/>
      </w:pPr>
      <w:r>
        <w:rPr>
          <w:rFonts w:ascii="Times New Roman" w:hAnsi="Times New Roman" w:eastAsia="SimSun"/>
          <w:b w:val="0"/>
          <w:sz w:val="24"/>
        </w:rPr>
        <w:t>1、其为在协会登记的私募基金管理人，具备持续经营能力，财务状况与人员配备能够支持【基金】的持续管理运作；</w:t>
      </w:r>
    </w:p>
    <w:p>
      <w:pPr>
        <w:spacing w:line="319" w:lineRule="auto" w:after="40"/>
        <w:jc w:val="both"/>
      </w:pPr>
      <w:r>
        <w:rPr>
          <w:rFonts w:ascii="Times New Roman" w:hAnsi="Times New Roman" w:eastAsia="SimSun"/>
          <w:b w:val="0"/>
          <w:sz w:val="24"/>
        </w:rPr>
        <w:t>2、其有正在管理的私募基金，或者其与【原管理人】受同一实际控制人控制（按实际情况保留其一，并在报送材料中如实说明）；</w:t>
      </w:r>
    </w:p>
    <w:p>
      <w:pPr>
        <w:spacing w:line="319" w:lineRule="auto" w:after="40"/>
        <w:jc w:val="both"/>
      </w:pPr>
      <w:r>
        <w:rPr>
          <w:rFonts w:ascii="Times New Roman" w:hAnsi="Times New Roman" w:eastAsia="SimSun"/>
          <w:b w:val="0"/>
          <w:sz w:val="24"/>
        </w:rPr>
        <w:t>3、其接受本次委托符合专业化运营原则；基于风险化解需要接受委托的，将在报送材料中作出说明；</w:t>
      </w:r>
    </w:p>
    <w:p>
      <w:pPr>
        <w:spacing w:line="319" w:lineRule="auto" w:after="40"/>
        <w:jc w:val="both"/>
      </w:pPr>
      <w:r>
        <w:rPr>
          <w:rFonts w:ascii="Times New Roman" w:hAnsi="Times New Roman" w:eastAsia="SimSun"/>
          <w:b w:val="0"/>
          <w:sz w:val="24"/>
        </w:rPr>
        <w:t>4、其不存在《私募投资基金登记备案办法》第四十二条规定的被协会暂停办理私募基金备案的情形；</w:t>
      </w:r>
    </w:p>
    <w:p>
      <w:pPr>
        <w:spacing w:line="319" w:lineRule="auto" w:after="40"/>
        <w:jc w:val="both"/>
      </w:pPr>
      <w:r>
        <w:rPr>
          <w:rFonts w:ascii="Times New Roman" w:hAnsi="Times New Roman" w:eastAsia="SimSun"/>
          <w:b w:val="0"/>
          <w:sz w:val="24"/>
        </w:rPr>
        <w:t>5、其及其控股股东、实际控制人、普通合伙人、董事、监事、高级管理人员、执行事务合伙人或者委派代表不存在《私募投资基金监督管理条例》第八条、第九条规定的情形。</w:t>
      </w:r>
    </w:p>
    <w:p>
      <w:pPr>
        <w:spacing w:line="319" w:lineRule="auto" w:after="40"/>
        <w:jc w:val="both"/>
      </w:pPr>
      <w:r>
        <w:rPr>
          <w:rFonts w:ascii="Times New Roman" w:hAnsi="Times New Roman" w:eastAsia="SimSun"/>
          <w:b w:val="0"/>
          <w:sz w:val="24"/>
        </w:rPr>
        <w:t>上述承诺任何一项不真实、不准确的，【新管理人】应赔偿由此给【基金】及投资者造成的损失。</w:t>
      </w:r>
    </w:p>
    <w:p>
      <w:pPr>
        <w:spacing w:line="300" w:lineRule="auto" w:after="60"/>
        <w:jc w:val="both"/>
      </w:pPr>
      <w:r>
        <w:rPr>
          <w:rFonts w:ascii="Times New Roman" w:hAnsi="Times New Roman" w:eastAsia="SimSun"/>
          <w:b w:val="0"/>
          <w:color w:val="7F7F7F"/>
          <w:sz w:val="21"/>
        </w:rPr>
        <w:t>【拟稿注：本条逐项对应《私募投资基金备案指引第3号——私募投资基金变更管理人》第五条对新管理人的要求。第2项两种情形为并列选择关系；两项均不满足的，协会变更手续存在实质障碍，应在签约前先行核查，不宜先签约再补条件。】</w:t>
      </w:r>
    </w:p>
    <w:p>
      <w:pPr>
        <w:spacing w:line="341" w:lineRule="auto" w:before="200" w:after="120"/>
      </w:pPr>
      <w:r>
        <w:rPr>
          <w:rFonts w:ascii="Times New Roman" w:hAnsi="Times New Roman" w:eastAsia="SimHei"/>
          <w:b/>
          <w:sz w:val="28"/>
        </w:rPr>
        <w:t>第三条　管理职责移交</w:t>
      </w:r>
    </w:p>
    <w:p>
      <w:pPr>
        <w:spacing w:line="319" w:lineRule="auto" w:after="40"/>
        <w:jc w:val="both"/>
      </w:pPr>
      <w:r>
        <w:rPr>
          <w:rFonts w:ascii="Times New Roman" w:hAnsi="Times New Roman" w:eastAsia="SimSun"/>
          <w:b w:val="0"/>
          <w:sz w:val="24"/>
        </w:rPr>
        <w:t>1、移交基准日为【●】年【●】月【●】日（以下简称基准日）。</w:t>
      </w:r>
    </w:p>
    <w:p>
      <w:pPr>
        <w:spacing w:line="319" w:lineRule="auto" w:after="40"/>
        <w:jc w:val="both"/>
      </w:pPr>
      <w:r>
        <w:rPr>
          <w:rFonts w:ascii="Times New Roman" w:hAnsi="Times New Roman" w:eastAsia="SimSun"/>
          <w:b w:val="0"/>
          <w:sz w:val="24"/>
        </w:rPr>
        <w:t>2、【原管理人】应按附件一《管理职责移交清单》向【新管理人】移交全部管理职责相关文件、资料、账号与财物，包括但不限于：基金财产清单与权属文件、基金合同及全部补充协议、投资者名册与投资者适当性管理档案、会计账册与估值记录、投资项目档案、募集结算资金专用账户资料及监督协议、信息披露备份平台账号、以【基金】名义刻制或保管的印章证照、未决事项清单。</w:t>
      </w:r>
    </w:p>
    <w:p>
      <w:pPr>
        <w:spacing w:line="319" w:lineRule="auto" w:after="40"/>
        <w:jc w:val="both"/>
      </w:pPr>
      <w:r>
        <w:rPr>
          <w:rFonts w:ascii="Times New Roman" w:hAnsi="Times New Roman" w:eastAsia="SimSun"/>
          <w:b w:val="0"/>
          <w:sz w:val="24"/>
        </w:rPr>
        <w:t>3、过渡期安排：自本协议签署日至移交完成确认日为过渡期，过渡期不超过【●】日。过渡期内，【原管理人】继续维持【基金】必要的日常运作，不得实施新增投资、对外担保、和解、放弃权利等重大行为，确有必要的应经【新管理人】书面同意；【新管理人】有权就移交事项查阅、核对与质询。</w:t>
      </w:r>
    </w:p>
    <w:p>
      <w:pPr>
        <w:spacing w:line="319" w:lineRule="auto" w:after="40"/>
        <w:jc w:val="both"/>
      </w:pPr>
      <w:r>
        <w:rPr>
          <w:rFonts w:ascii="Times New Roman" w:hAnsi="Times New Roman" w:eastAsia="SimSun"/>
          <w:b w:val="0"/>
          <w:sz w:val="24"/>
        </w:rPr>
        <w:t>4、移交完成确认：每一移交事项经【新管理人】核对后由交接双方在移交清单相应栏目签字确认；全部事项移交完毕的，双方签署移交完成确认书，移交完成确认日以该确认书载明日期为准。</w:t>
      </w:r>
    </w:p>
    <w:p>
      <w:pPr>
        <w:spacing w:line="319" w:lineRule="auto" w:after="40"/>
        <w:jc w:val="both"/>
      </w:pPr>
      <w:r>
        <w:rPr>
          <w:rFonts w:ascii="Times New Roman" w:hAnsi="Times New Roman" w:eastAsia="SimSun"/>
          <w:b w:val="0"/>
          <w:sz w:val="24"/>
        </w:rPr>
        <w:t>5、基准日后【原管理人】仍收到属于【基金】的款项、文件或通知的，应于【●】个工作日内转交【新管理人】或按其指示处理。</w:t>
      </w:r>
    </w:p>
    <w:p>
      <w:pPr>
        <w:spacing w:line="341" w:lineRule="auto" w:before="200" w:after="120"/>
      </w:pPr>
      <w:r>
        <w:rPr>
          <w:rFonts w:ascii="Times New Roman" w:hAnsi="Times New Roman" w:eastAsia="SimHei"/>
          <w:b/>
          <w:sz w:val="28"/>
        </w:rPr>
        <w:t>第四条　权利义务转移与责任划界</w:t>
      </w:r>
    </w:p>
    <w:p>
      <w:pPr>
        <w:spacing w:line="319" w:lineRule="auto" w:after="40"/>
        <w:jc w:val="both"/>
      </w:pPr>
      <w:r>
        <w:rPr>
          <w:rFonts w:ascii="Times New Roman" w:hAnsi="Times New Roman" w:eastAsia="SimSun"/>
          <w:b w:val="0"/>
          <w:sz w:val="24"/>
        </w:rPr>
        <w:t>1、自基准日起，基金合同项下私募基金管理人的权利义务由【新管理人】承继并履行；【原管理人】不再以【基金】管理人名义实施任何管理行为。</w:t>
      </w:r>
    </w:p>
    <w:p>
      <w:pPr>
        <w:spacing w:line="319" w:lineRule="auto" w:after="40"/>
        <w:jc w:val="both"/>
      </w:pPr>
      <w:r>
        <w:rPr>
          <w:rFonts w:ascii="Times New Roman" w:hAnsi="Times New Roman" w:eastAsia="SimSun"/>
          <w:b w:val="0"/>
          <w:sz w:val="24"/>
        </w:rPr>
        <w:t>2、基准日（含当日）前的管理行为及其法律后果由【原管理人】承担；基准日后的管理行为及其法律后果由【新管理人】承担。【原管理人】对其管理期间的行为依法应承担的责任，不因本次变更而免除。</w:t>
      </w:r>
    </w:p>
    <w:p>
      <w:pPr>
        <w:spacing w:line="319" w:lineRule="auto" w:after="40"/>
        <w:jc w:val="both"/>
      </w:pPr>
      <w:r>
        <w:rPr>
          <w:rFonts w:ascii="Times New Roman" w:hAnsi="Times New Roman" w:eastAsia="SimSun"/>
          <w:b w:val="0"/>
          <w:sz w:val="24"/>
        </w:rPr>
        <w:t>3、管理费与业绩报酬切割：截至基准日应计未付的管理费为【●】，由【基金】按原约定支付【原管理人】；已计提尚未满足支付条件或者依约应予返还的业绩报酬为【●】，处理方式为【●】。基准日后的管理费与业绩报酬按新基金合同及委托管理协议执行。</w:t>
      </w:r>
    </w:p>
    <w:p>
      <w:pPr>
        <w:spacing w:line="319" w:lineRule="auto" w:after="40"/>
        <w:jc w:val="both"/>
      </w:pPr>
      <w:r>
        <w:rPr>
          <w:rFonts w:ascii="Times New Roman" w:hAnsi="Times New Roman" w:eastAsia="SimSun"/>
          <w:b w:val="0"/>
          <w:sz w:val="24"/>
        </w:rPr>
        <w:t>4、【原管理人】此前对投资者作出的承诺事项清单见附件【●】；由【新管理人】承继履行的，应在新基金合同中明确；不予承继的，应向相关投资者书面说明处理安排。</w:t>
      </w:r>
    </w:p>
    <w:p>
      <w:pPr>
        <w:spacing w:line="300" w:lineRule="auto" w:after="60"/>
        <w:jc w:val="both"/>
      </w:pPr>
      <w:r>
        <w:rPr>
          <w:rFonts w:ascii="Times New Roman" w:hAnsi="Times New Roman" w:eastAsia="SimSun"/>
          <w:b w:val="0"/>
          <w:color w:val="7F7F7F"/>
          <w:sz w:val="21"/>
        </w:rPr>
        <w:t>【拟稿注：本条责任划界仅在协议各方之间产生内部分担效力，不能对抗基金债权人及其他第三人的法定请求，对外承担责任后按本条向责任方追偿。承诺事项承继安排的遗漏，易引发管理人变更后的投资者纠纷，建议逐项盘点并取得书面确认。】</w:t>
      </w:r>
    </w:p>
    <w:p>
      <w:pPr>
        <w:spacing w:line="341" w:lineRule="auto" w:before="200" w:after="120"/>
      </w:pPr>
      <w:r>
        <w:rPr>
          <w:rFonts w:ascii="Times New Roman" w:hAnsi="Times New Roman" w:eastAsia="SimHei"/>
          <w:b/>
          <w:sz w:val="28"/>
        </w:rPr>
        <w:t>第五条　协会变更手续</w:t>
      </w:r>
    </w:p>
    <w:p>
      <w:pPr>
        <w:spacing w:line="319" w:lineRule="auto" w:after="40"/>
        <w:jc w:val="both"/>
      </w:pPr>
      <w:r>
        <w:rPr>
          <w:rFonts w:ascii="Times New Roman" w:hAnsi="Times New Roman" w:eastAsia="SimSun"/>
          <w:b w:val="0"/>
          <w:sz w:val="24"/>
        </w:rPr>
        <w:t>1、本协议所称变更之日，按照《私募投资基金备案指引第2号——私募股权、创业投资基金》第三十五条第（七）项确定：需办理市场主体变更登记的，指市场主体变更登记之日；无需办理市场主体变更登记的，指相关协议或者决议生效之日。</w:t>
      </w:r>
    </w:p>
    <w:p>
      <w:pPr>
        <w:spacing w:line="319" w:lineRule="auto" w:after="40"/>
        <w:jc w:val="both"/>
      </w:pPr>
      <w:r>
        <w:rPr>
          <w:rFonts w:ascii="Times New Roman" w:hAnsi="Times New Roman" w:eastAsia="SimSun"/>
          <w:b w:val="0"/>
          <w:sz w:val="24"/>
        </w:rPr>
        <w:t>2、【原管理人】应自变更之日起10个工作日内，经协会登记备案电子系统报送下列材料，并由【新管理人】在系统内确认：变更原因说明；本协议或者投资者会议决议；新基金合同和委托管理协议（如有）；【托管人】对本次变更的明确意见（如有托管）；合伙型基金变更后的工商登记信息（如涉及）；信息变更承诺函及协会要求的其他材料。</w:t>
      </w:r>
    </w:p>
    <w:p>
      <w:pPr>
        <w:spacing w:line="319" w:lineRule="auto" w:after="40"/>
        <w:jc w:val="both"/>
      </w:pPr>
      <w:r>
        <w:rPr>
          <w:rFonts w:ascii="Times New Roman" w:hAnsi="Times New Roman" w:eastAsia="SimSun"/>
          <w:b w:val="0"/>
          <w:sz w:val="24"/>
        </w:rPr>
        <w:t>3、各方应及时签署、提供办理变更手续所需的文件与信息，并对其提供材料的真实性、准确性、完整性负责。</w:t>
      </w:r>
    </w:p>
    <w:p>
      <w:pPr>
        <w:spacing w:line="319" w:lineRule="auto" w:after="40"/>
        <w:jc w:val="both"/>
      </w:pPr>
      <w:r>
        <w:rPr>
          <w:rFonts w:ascii="Times New Roman" w:hAnsi="Times New Roman" w:eastAsia="SimSun"/>
          <w:b w:val="0"/>
          <w:sz w:val="24"/>
        </w:rPr>
        <w:t>4、【原管理人】依法解散注销、被注销或者撤销私募基金管理人登记、失联，或者在投资者会议作出决议后不予配合的，由【新管理人】报送前款材料。</w:t>
      </w:r>
    </w:p>
    <w:p>
      <w:pPr>
        <w:spacing w:line="319" w:lineRule="auto" w:after="40"/>
        <w:jc w:val="both"/>
      </w:pPr>
      <w:r>
        <w:rPr>
          <w:rFonts w:ascii="Times New Roman" w:hAnsi="Times New Roman" w:eastAsia="SimSun"/>
          <w:b w:val="0"/>
          <w:sz w:val="24"/>
        </w:rPr>
        <w:t>5、完成管理人变更后，【新管理人】应当及时向其注册地证监局报告。</w:t>
      </w:r>
    </w:p>
    <w:p>
      <w:pPr>
        <w:spacing w:line="300" w:lineRule="auto" w:after="60"/>
        <w:jc w:val="both"/>
      </w:pPr>
      <w:r>
        <w:rPr>
          <w:rFonts w:ascii="Times New Roman" w:hAnsi="Times New Roman" w:eastAsia="SimSun"/>
          <w:b w:val="0"/>
          <w:color w:val="7F7F7F"/>
          <w:sz w:val="21"/>
        </w:rPr>
        <w:t>【拟稿注：第2款对应《私募投资基金登记备案办法》第五十五条、《私募投资基金备案指引第2号——私募股权、创业投资基金》第二十七条及《私募投资基金备案指引第3号——私募投资基金变更管理人》第六条；第4款对应该指引第七条，该等情形下除全体投资者一致同意变更外，变更程序应当经公证机关公证或者由中国证监会备案的律师事务所出具专项法律意见书，且公证书或专项法律意见书须对投资者会议召集及决议程序合规性发表明确结论性意见；第5款对应该指引第十五条第二款。另据该指引第八条，原管理人有异议的，可自收到通知后5个工作日内向协会提交不同意变更的说明材料，并在20个工作日内提交人民法院受理案件通知书或者仲裁受理通知书，协会将中止办理，逾期未提交的恢复办理——预判原管理人不配合的，应提前规划公证或专项法律意见书路径并预留程序时间。】</w:t>
      </w:r>
    </w:p>
    <w:p>
      <w:pPr>
        <w:spacing w:line="341" w:lineRule="auto" w:before="200" w:after="120"/>
      </w:pPr>
      <w:r>
        <w:rPr>
          <w:rFonts w:ascii="Times New Roman" w:hAnsi="Times New Roman" w:eastAsia="SimHei"/>
          <w:b/>
          <w:sz w:val="28"/>
        </w:rPr>
        <w:t>第六条　新基金合同、委托管理协议与登记衔接</w:t>
      </w:r>
    </w:p>
    <w:p>
      <w:pPr>
        <w:spacing w:line="319" w:lineRule="auto" w:after="40"/>
        <w:jc w:val="both"/>
      </w:pPr>
      <w:r>
        <w:rPr>
          <w:rFonts w:ascii="Times New Roman" w:hAnsi="Times New Roman" w:eastAsia="SimSun"/>
          <w:b w:val="0"/>
          <w:sz w:val="24"/>
        </w:rPr>
        <w:t>1、各方应于【●】前签署新基金合同（或基金合同之修订协议）；【基金】执行事务合伙人与管理人分离的，【基金】、【执行事务合伙人】与【新管理人】应同步签署委托管理协议（可采用本包12号文书）。</w:t>
      </w:r>
    </w:p>
    <w:p>
      <w:pPr>
        <w:spacing w:line="319" w:lineRule="auto" w:after="40"/>
        <w:jc w:val="both"/>
      </w:pPr>
      <w:r>
        <w:rPr>
          <w:rFonts w:ascii="Times New Roman" w:hAnsi="Times New Roman" w:eastAsia="SimSun"/>
          <w:b w:val="0"/>
          <w:sz w:val="24"/>
        </w:rPr>
        <w:t>2、有托管安排的，各方应取得【托管人】对本次变更的明确意见（可采用本包13号文书模板一），并与【托管人】办理托管协议的变更或者重签。</w:t>
      </w:r>
    </w:p>
    <w:p>
      <w:pPr>
        <w:spacing w:line="319" w:lineRule="auto" w:after="40"/>
        <w:jc w:val="both"/>
      </w:pPr>
      <w:r>
        <w:rPr>
          <w:rFonts w:ascii="Times New Roman" w:hAnsi="Times New Roman" w:eastAsia="SimSun"/>
          <w:b w:val="0"/>
          <w:sz w:val="24"/>
        </w:rPr>
        <w:t>3、本次变更同时涉及执行事务合伙人变更或者合伙人变更等市场主体登记事项的，应当自作出变更决议、决定或者法定变更事项发生之日起30日内向登记机关申请变更登记。</w:t>
      </w:r>
    </w:p>
    <w:p>
      <w:pPr>
        <w:spacing w:line="300" w:lineRule="auto" w:after="60"/>
        <w:jc w:val="both"/>
      </w:pPr>
      <w:r>
        <w:rPr>
          <w:rFonts w:ascii="Times New Roman" w:hAnsi="Times New Roman" w:eastAsia="SimSun"/>
          <w:b w:val="0"/>
          <w:color w:val="7F7F7F"/>
          <w:sz w:val="21"/>
        </w:rPr>
        <w:t>【拟稿注：工商变更登记时限依据《市场主体登记管理条例》第二十四条。管理人变更与执行事务合伙人变更、份额转让同步实施时，变更之日的认定随是否需要办理市场主体变更登记而不同，进而影响向协会报送的10个工作日起算点；建议按内部决议签署、工商变更登记、协会变更手续的顺序排定时间表，避免起算点争议。】</w:t>
      </w:r>
    </w:p>
    <w:p>
      <w:pPr>
        <w:spacing w:line="341" w:lineRule="auto" w:before="200" w:after="120"/>
      </w:pPr>
      <w:r>
        <w:rPr>
          <w:rFonts w:ascii="Times New Roman" w:hAnsi="Times New Roman" w:eastAsia="SimHei"/>
          <w:b/>
          <w:sz w:val="28"/>
        </w:rPr>
        <w:t>第七条　信息披露与投资者通知</w:t>
      </w:r>
    </w:p>
    <w:p>
      <w:pPr>
        <w:spacing w:line="319" w:lineRule="auto" w:after="40"/>
        <w:jc w:val="both"/>
      </w:pPr>
      <w:r>
        <w:rPr>
          <w:rFonts w:ascii="Times New Roman" w:hAnsi="Times New Roman" w:eastAsia="SimSun"/>
          <w:b w:val="0"/>
          <w:sz w:val="24"/>
        </w:rPr>
        <w:t>1、投资者会议决议作出后，投资者或者其授权代表应及时将变更事项书面通知【原管理人】（通知文件可采用本包13号文书模板二），送达凭证由【●】留存。</w:t>
      </w:r>
    </w:p>
    <w:p>
      <w:pPr>
        <w:spacing w:line="319" w:lineRule="auto" w:after="40"/>
        <w:jc w:val="both"/>
      </w:pPr>
      <w:r>
        <w:rPr>
          <w:rFonts w:ascii="Times New Roman" w:hAnsi="Times New Roman" w:eastAsia="SimSun"/>
          <w:b w:val="0"/>
          <w:sz w:val="24"/>
        </w:rPr>
        <w:t>2、【新管理人】应自承接管理职责后，按照基金合同及监管规定向投资者披露本次变更情况、新管理人基本情况及联系方式，并持续履行信息披露义务。</w:t>
      </w:r>
    </w:p>
    <w:p>
      <w:pPr>
        <w:spacing w:line="319" w:lineRule="auto" w:after="40"/>
        <w:jc w:val="both"/>
      </w:pPr>
      <w:r>
        <w:rPr>
          <w:rFonts w:ascii="Times New Roman" w:hAnsi="Times New Roman" w:eastAsia="SimSun"/>
          <w:b w:val="0"/>
          <w:sz w:val="24"/>
        </w:rPr>
        <w:t>3、各方不得就本次变更向投资者作误导性陈述。</w:t>
      </w:r>
    </w:p>
    <w:p>
      <w:pPr>
        <w:spacing w:line="341" w:lineRule="auto" w:before="200" w:after="120"/>
      </w:pPr>
      <w:r>
        <w:rPr>
          <w:rFonts w:ascii="Times New Roman" w:hAnsi="Times New Roman" w:eastAsia="SimHei"/>
          <w:b/>
          <w:sz w:val="28"/>
        </w:rPr>
        <w:t>第八条　费用</w:t>
      </w:r>
    </w:p>
    <w:p>
      <w:pPr>
        <w:spacing w:line="319" w:lineRule="auto" w:after="40"/>
        <w:jc w:val="both"/>
      </w:pPr>
      <w:r>
        <w:rPr>
          <w:rFonts w:ascii="Times New Roman" w:hAnsi="Times New Roman" w:eastAsia="SimSun"/>
          <w:b w:val="0"/>
          <w:sz w:val="24"/>
        </w:rPr>
        <w:t>办理本次变更发生的公证费、律师费、登记费等费用，由【●】承担；各方为签署与履行本协议发生的内部成本自行承担。</w:t>
      </w:r>
    </w:p>
    <w:p>
      <w:pPr>
        <w:spacing w:line="341" w:lineRule="auto" w:before="200" w:after="120"/>
      </w:pPr>
      <w:r>
        <w:rPr>
          <w:rFonts w:ascii="Times New Roman" w:hAnsi="Times New Roman" w:eastAsia="SimHei"/>
          <w:b/>
          <w:sz w:val="28"/>
        </w:rPr>
        <w:t>第九条　违约责任</w:t>
      </w:r>
    </w:p>
    <w:p>
      <w:pPr>
        <w:spacing w:line="319" w:lineRule="auto" w:after="40"/>
        <w:jc w:val="both"/>
      </w:pPr>
      <w:r>
        <w:rPr>
          <w:rFonts w:ascii="Times New Roman" w:hAnsi="Times New Roman" w:eastAsia="SimSun"/>
          <w:b w:val="0"/>
          <w:sz w:val="24"/>
        </w:rPr>
        <w:t>任何一方违反本协议约定，致使变更手续迟延、无法办理或者给其他方造成损失的，应承担继续履行、采取补救措施、赔偿损失等违约责任。【原管理人】无正当理由拒绝移交或者迟延移交的，每迟延一日应按【●】向【基金】支付违约金，且不免除其移交义务。</w:t>
      </w:r>
    </w:p>
    <w:p>
      <w:pPr>
        <w:spacing w:line="341" w:lineRule="auto" w:before="200" w:after="120"/>
      </w:pPr>
      <w:r>
        <w:rPr>
          <w:rFonts w:ascii="Times New Roman" w:hAnsi="Times New Roman" w:eastAsia="SimHei"/>
          <w:b/>
          <w:sz w:val="28"/>
        </w:rPr>
        <w:t>第十条　保密</w:t>
      </w:r>
    </w:p>
    <w:p>
      <w:pPr>
        <w:spacing w:line="319" w:lineRule="auto" w:after="40"/>
        <w:jc w:val="both"/>
      </w:pPr>
      <w:r>
        <w:rPr>
          <w:rFonts w:ascii="Times New Roman" w:hAnsi="Times New Roman" w:eastAsia="SimSun"/>
          <w:b w:val="0"/>
          <w:sz w:val="24"/>
        </w:rPr>
        <w:t>各方对因签署和履行本协议知悉的其他方商业秘密、投资者信息及【基金】未公开信息负有保密义务，法律法规、监管规定要求披露或者报送的除外。本条在本协议终止后继续有效。</w:t>
      </w:r>
    </w:p>
    <w:p>
      <w:pPr>
        <w:spacing w:line="341" w:lineRule="auto" w:before="200" w:after="120"/>
      </w:pPr>
      <w:r>
        <w:rPr>
          <w:rFonts w:ascii="Times New Roman" w:hAnsi="Times New Roman" w:eastAsia="SimHei"/>
          <w:b/>
          <w:sz w:val="28"/>
        </w:rPr>
        <w:t>第十一条　通知与送达</w:t>
      </w:r>
    </w:p>
    <w:p>
      <w:pPr>
        <w:spacing w:line="319" w:lineRule="auto" w:after="40"/>
        <w:jc w:val="both"/>
      </w:pPr>
      <w:r>
        <w:rPr>
          <w:rFonts w:ascii="Times New Roman" w:hAnsi="Times New Roman" w:eastAsia="SimSun"/>
          <w:b w:val="0"/>
          <w:sz w:val="24"/>
        </w:rPr>
        <w:t>1、一方依据本协议发出的通知应采用书面形式，送达本协议载明的其他方地址或者电子邮箱。</w:t>
      </w:r>
    </w:p>
    <w:p>
      <w:pPr>
        <w:spacing w:line="319" w:lineRule="auto" w:after="40"/>
        <w:jc w:val="both"/>
      </w:pPr>
      <w:r>
        <w:rPr>
          <w:rFonts w:ascii="Times New Roman" w:hAnsi="Times New Roman" w:eastAsia="SimSun"/>
          <w:b w:val="0"/>
          <w:sz w:val="24"/>
        </w:rPr>
        <w:t>2、专人送达的，签收之日视为送达；邮寄送达的，交邮后第【●】日视为送达；电子邮件发送成功且未收到退信提示的，发送之日视为送达。</w:t>
      </w:r>
    </w:p>
    <w:p>
      <w:pPr>
        <w:spacing w:line="319" w:lineRule="auto" w:after="40"/>
        <w:jc w:val="both"/>
      </w:pPr>
      <w:r>
        <w:rPr>
          <w:rFonts w:ascii="Times New Roman" w:hAnsi="Times New Roman" w:eastAsia="SimSun"/>
          <w:b w:val="0"/>
          <w:sz w:val="24"/>
        </w:rPr>
        <w:t>3、联系方式变更的，应于变更后【●】个工作日内书面通知其他方；未通知的，按原联系方式送达仍发生送达效力。</w:t>
      </w:r>
    </w:p>
    <w:p>
      <w:pPr>
        <w:spacing w:line="341" w:lineRule="auto" w:before="200" w:after="120"/>
      </w:pPr>
      <w:r>
        <w:rPr>
          <w:rFonts w:ascii="Times New Roman" w:hAnsi="Times New Roman" w:eastAsia="SimHei"/>
          <w:b/>
          <w:sz w:val="28"/>
        </w:rPr>
        <w:t>第十二条　争议解决</w:t>
      </w:r>
    </w:p>
    <w:p>
      <w:pPr>
        <w:spacing w:line="319" w:lineRule="auto" w:after="40"/>
        <w:jc w:val="both"/>
      </w:pPr>
      <w:r>
        <w:rPr>
          <w:rFonts w:ascii="Times New Roman" w:hAnsi="Times New Roman" w:eastAsia="SimSun"/>
          <w:b w:val="0"/>
          <w:sz w:val="24"/>
        </w:rPr>
        <w:t>因本协议引起的或者与本协议有关的争议，各方应首先友好协商解决；协商不成的，按下列第【●】种方式解决：</w:t>
      </w:r>
    </w:p>
    <w:p>
      <w:pPr>
        <w:spacing w:line="319" w:lineRule="auto" w:after="40"/>
        <w:jc w:val="both"/>
      </w:pPr>
      <w:r>
        <w:rPr>
          <w:rFonts w:ascii="Times New Roman" w:hAnsi="Times New Roman" w:eastAsia="SimSun"/>
          <w:b w:val="0"/>
          <w:sz w:val="24"/>
        </w:rPr>
        <w:t>方式A：提交【●】仲裁委员会，按照申请仲裁时该会现行有效的仲裁规则进行仲裁，仲裁裁决是终局的，对各方均有约束力。</w:t>
      </w:r>
    </w:p>
    <w:p>
      <w:pPr>
        <w:spacing w:line="319" w:lineRule="auto" w:after="40"/>
        <w:jc w:val="both"/>
      </w:pPr>
      <w:r>
        <w:rPr>
          <w:rFonts w:ascii="Times New Roman" w:hAnsi="Times New Roman" w:eastAsia="SimSun"/>
          <w:b w:val="0"/>
          <w:sz w:val="24"/>
        </w:rPr>
        <w:t>方式B：向有管辖权的人民法院起诉。</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【拟稿注：选定后删去未选支，空置的选择项在争议中可能被作不利解释。本条宜与基金合同（合伙协议）的争议解决条款保持一致，避免同一交易项下并存仲裁与诉讼两种管辖造成程序分裂。】</w:t>
      </w:r>
    </w:p>
    <w:p>
      <w:pPr>
        <w:spacing w:line="341" w:lineRule="auto" w:before="200" w:after="120"/>
      </w:pPr>
      <w:r>
        <w:rPr>
          <w:rFonts w:ascii="Times New Roman" w:hAnsi="Times New Roman" w:eastAsia="SimHei"/>
          <w:b/>
          <w:sz w:val="28"/>
        </w:rPr>
        <w:t>第十三条　生效</w:t>
      </w:r>
    </w:p>
    <w:p>
      <w:pPr>
        <w:spacing w:line="319" w:lineRule="auto" w:after="40"/>
        <w:jc w:val="both"/>
      </w:pPr>
      <w:r>
        <w:rPr>
          <w:rFonts w:ascii="Times New Roman" w:hAnsi="Times New Roman" w:eastAsia="SimSun"/>
          <w:b w:val="0"/>
          <w:sz w:val="24"/>
        </w:rPr>
        <w:t>本协议自各方盖章并由法定代表人、执行事务合伙人委派代表或者授权代表签字（自然人投资者由本人签字）之日起成立并生效；投资者经授权代表签署的，本协议对该等投资者具有约束力。本协议一式【●】份，各方各执【●】份，报送协会等使用【●】份，均具同等法律效力。</w:t>
      </w:r>
    </w:p>
    <w:p>
      <w:pPr>
        <w:spacing w:line="319" w:lineRule="auto" w:after="40"/>
        <w:jc w:val="both"/>
      </w:pPr>
      <w:r>
        <w:rPr>
          <w:rFonts w:ascii="Times New Roman" w:hAnsi="Times New Roman" w:eastAsia="SimSun"/>
          <w:b w:val="0"/>
          <w:sz w:val="24"/>
        </w:rPr>
        <w:t>（以下无正文，为签署页）</w:t>
      </w:r>
    </w:p>
    <w:p>
      <w:pPr>
        <w:spacing w:line="319" w:lineRule="auto" w:after="40"/>
        <w:jc w:val="both"/>
      </w:pPr>
      <w:r>
        <w:rPr>
          <w:rFonts w:ascii="Times New Roman" w:hAnsi="Times New Roman" w:eastAsia="SimSun"/>
          <w:b w:val="0"/>
          <w:sz w:val="24"/>
        </w:rPr>
        <w:t>原管理人：【原管理人】（盖章）</w:t>
      </w:r>
    </w:p>
    <w:p>
      <w:pPr>
        <w:spacing w:line="319" w:lineRule="auto" w:after="40"/>
        <w:jc w:val="both"/>
      </w:pPr>
      <w:r>
        <w:rPr>
          <w:rFonts w:ascii="Times New Roman" w:hAnsi="Times New Roman" w:eastAsia="SimSun"/>
          <w:b w:val="0"/>
          <w:sz w:val="24"/>
        </w:rPr>
        <w:t>法定代表人或授权代表（签字）：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新管理人：【新管理人】（盖章）</w:t>
      </w:r>
    </w:p>
    <w:p>
      <w:pPr>
        <w:spacing w:line="319" w:lineRule="auto" w:after="40"/>
        <w:jc w:val="both"/>
      </w:pPr>
      <w:r>
        <w:rPr>
          <w:rFonts w:ascii="Times New Roman" w:hAnsi="Times New Roman" w:eastAsia="SimSun"/>
          <w:b w:val="0"/>
          <w:sz w:val="24"/>
        </w:rPr>
        <w:t>法定代表人或授权代表（签字）：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基金：【基金】（盖章）</w:t>
      </w:r>
    </w:p>
    <w:p>
      <w:pPr>
        <w:spacing w:line="319" w:lineRule="auto" w:after="40"/>
        <w:jc w:val="both"/>
      </w:pPr>
      <w:r>
        <w:rPr>
          <w:rFonts w:ascii="Times New Roman" w:hAnsi="Times New Roman" w:eastAsia="SimSun"/>
          <w:b w:val="0"/>
          <w:sz w:val="24"/>
        </w:rPr>
        <w:t>执行事务合伙人：【执行事务合伙人】（盖章）</w:t>
      </w:r>
    </w:p>
    <w:p>
      <w:pPr>
        <w:spacing w:line="319" w:lineRule="auto" w:after="40"/>
        <w:jc w:val="both"/>
      </w:pPr>
      <w:r>
        <w:rPr>
          <w:rFonts w:ascii="Times New Roman" w:hAnsi="Times New Roman" w:eastAsia="SimSun"/>
          <w:b w:val="0"/>
          <w:sz w:val="24"/>
        </w:rPr>
        <w:t>委派代表或授权代表（签字）：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全体投资者或其授权代表：签署栏见附件二</w:t>
      </w:r>
    </w:p>
    <w:p>
      <w:pPr>
        <w:spacing w:line="319" w:lineRule="auto" w:after="40"/>
        <w:jc w:val="both"/>
      </w:pPr>
      <w:r>
        <w:rPr>
          <w:rFonts w:ascii="Times New Roman" w:hAnsi="Times New Roman" w:eastAsia="SimSun"/>
          <w:b w:val="0"/>
          <w:sz w:val="24"/>
        </w:rPr>
        <w:t>托管人（如有）：【托管人】（盖章）</w:t>
      </w:r>
    </w:p>
    <w:p>
      <w:pPr>
        <w:spacing w:line="319" w:lineRule="auto" w:after="40"/>
        <w:jc w:val="both"/>
      </w:pPr>
      <w:r>
        <w:rPr>
          <w:rFonts w:ascii="Times New Roman" w:hAnsi="Times New Roman" w:eastAsia="SimSun"/>
          <w:b w:val="0"/>
          <w:sz w:val="24"/>
        </w:rPr>
        <w:t>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附件一：管理职责移交清单</w:t>
      </w:r>
    </w:p>
    <w:tbl>
      <w:tblPr>
        <w:tblStyle w:val="TableGrid"/>
        <w:tblW w:type="auto" w:w="0"/>
        <w:tblLook w:firstColumn="1" w:firstRow="1" w:lastColumn="0" w:lastRow="0" w:noHBand="0" w:noVBand="1" w:val="04A0"/>
      </w:tblPr>
      <w:tblGrid>
        <w:gridCol w:w="1560"/>
        <w:gridCol w:w="1560"/>
        <w:gridCol w:w="1560"/>
        <w:gridCol w:w="1560"/>
        <w:gridCol w:w="1560"/>
        <w:gridCol w:w="1560"/>
      </w:tblGrid>
      <w:tr>
        <w:tc>
          <w:tcPr>
            <w:tcW w:type="dxa" w:w="1560"/>
          </w:tcPr>
          <w:p>
            <w:pPr>
              <w:spacing w:line="288" w:lineRule="auto"/>
            </w:pPr>
            <w:r/>
            <w:r>
              <w:rPr>
                <w:rFonts w:ascii="Times New Roman" w:hAnsi="Times New Roman" w:eastAsia="SimHei"/>
                <w:b/>
                <w:sz w:val="21"/>
              </w:rPr>
              <w:t>序号</w:t>
            </w:r>
          </w:p>
        </w:tc>
        <w:tc>
          <w:tcPr>
            <w:tcW w:type="dxa" w:w="1560"/>
          </w:tcPr>
          <w:p>
            <w:pPr>
              <w:spacing w:line="288" w:lineRule="auto"/>
            </w:pPr>
            <w:r/>
            <w:r>
              <w:rPr>
                <w:rFonts w:ascii="Times New Roman" w:hAnsi="Times New Roman" w:eastAsia="SimHei"/>
                <w:b/>
                <w:sz w:val="21"/>
              </w:rPr>
              <w:t>移交事项</w:t>
            </w:r>
          </w:p>
        </w:tc>
        <w:tc>
          <w:tcPr>
            <w:tcW w:type="dxa" w:w="1560"/>
          </w:tcPr>
          <w:p>
            <w:pPr>
              <w:spacing w:line="288" w:lineRule="auto"/>
            </w:pPr>
            <w:r/>
            <w:r>
              <w:rPr>
                <w:rFonts w:ascii="Times New Roman" w:hAnsi="Times New Roman" w:eastAsia="SimHei"/>
                <w:b/>
                <w:sz w:val="21"/>
              </w:rPr>
              <w:t>载体或形式</w:t>
            </w:r>
          </w:p>
        </w:tc>
        <w:tc>
          <w:tcPr>
            <w:tcW w:type="dxa" w:w="1560"/>
          </w:tcPr>
          <w:p>
            <w:pPr>
              <w:spacing w:line="288" w:lineRule="auto"/>
            </w:pPr>
            <w:r/>
            <w:r>
              <w:rPr>
                <w:rFonts w:ascii="Times New Roman" w:hAnsi="Times New Roman" w:eastAsia="SimHei"/>
                <w:b/>
                <w:sz w:val="21"/>
              </w:rPr>
              <w:t>移交期限</w:t>
            </w:r>
          </w:p>
        </w:tc>
        <w:tc>
          <w:tcPr>
            <w:tcW w:type="dxa" w:w="1560"/>
          </w:tcPr>
          <w:p>
            <w:pPr>
              <w:spacing w:line="288" w:lineRule="auto"/>
            </w:pPr>
            <w:r/>
            <w:r>
              <w:rPr>
                <w:rFonts w:ascii="Times New Roman" w:hAnsi="Times New Roman" w:eastAsia="SimHei"/>
                <w:b/>
                <w:sz w:val="21"/>
              </w:rPr>
              <w:t>交付方确认</w:t>
            </w:r>
          </w:p>
        </w:tc>
        <w:tc>
          <w:tcPr>
            <w:tcW w:type="dxa" w:w="1560"/>
          </w:tcPr>
          <w:p>
            <w:pPr>
              <w:spacing w:line="288" w:lineRule="auto"/>
            </w:pPr>
            <w:r/>
            <w:r>
              <w:rPr>
                <w:rFonts w:ascii="Times New Roman" w:hAnsi="Times New Roman" w:eastAsia="SimHei"/>
                <w:b/>
                <w:sz w:val="21"/>
              </w:rPr>
              <w:t>接收方确认</w:t>
            </w:r>
          </w:p>
        </w:tc>
      </w:tr>
      <w:tr>
        <w:tc>
          <w:tcPr>
            <w:tcW w:type="dxa" w:w="1560"/>
          </w:tcPr>
          <w:p>
            <w:pPr>
              <w:spacing w:line="288" w:lineRule="auto"/>
            </w:pPr>
            <w:r/>
            <w:r>
              <w:rPr>
                <w:rFonts w:ascii="Times New Roman" w:hAnsi="Times New Roman" w:eastAsia="SimSun"/>
                <w:b w:val="0"/>
                <w:sz w:val="21"/>
              </w:rPr>
              <w:t>1</w:t>
            </w:r>
          </w:p>
        </w:tc>
        <w:tc>
          <w:tcPr>
            <w:tcW w:type="dxa" w:w="1560"/>
          </w:tcPr>
          <w:p>
            <w:pPr>
              <w:spacing w:line="288" w:lineRule="auto"/>
            </w:pPr>
            <w:r/>
            <w:r>
              <w:rPr>
                <w:rFonts w:ascii="Times New Roman" w:hAnsi="Times New Roman" w:eastAsia="SimSun"/>
                <w:b w:val="0"/>
                <w:sz w:val="21"/>
              </w:rPr>
              <w:t>基金财产清单与权属文件（银行账户与证券账户资料、股权及财产份额权属凭证、投资确权文件）</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2</w:t>
            </w:r>
          </w:p>
        </w:tc>
        <w:tc>
          <w:tcPr>
            <w:tcW w:type="dxa" w:w="1560"/>
          </w:tcPr>
          <w:p>
            <w:pPr>
              <w:spacing w:line="288" w:lineRule="auto"/>
            </w:pPr>
            <w:r/>
            <w:r>
              <w:rPr>
                <w:rFonts w:ascii="Times New Roman" w:hAnsi="Times New Roman" w:eastAsia="SimSun"/>
                <w:b w:val="0"/>
                <w:sz w:val="21"/>
              </w:rPr>
              <w:t>基金合同及全部补充协议、募集说明书、风险揭示书等募集文件</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3</w:t>
            </w:r>
          </w:p>
        </w:tc>
        <w:tc>
          <w:tcPr>
            <w:tcW w:type="dxa" w:w="1560"/>
          </w:tcPr>
          <w:p>
            <w:pPr>
              <w:spacing w:line="288" w:lineRule="auto"/>
            </w:pPr>
            <w:r/>
            <w:r>
              <w:rPr>
                <w:rFonts w:ascii="Times New Roman" w:hAnsi="Times New Roman" w:eastAsia="SimSun"/>
                <w:b w:val="0"/>
                <w:sz w:val="21"/>
              </w:rPr>
              <w:t>投资者名册与投资者适当性管理档案</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4</w:t>
            </w:r>
          </w:p>
        </w:tc>
        <w:tc>
          <w:tcPr>
            <w:tcW w:type="dxa" w:w="1560"/>
          </w:tcPr>
          <w:p>
            <w:pPr>
              <w:spacing w:line="288" w:lineRule="auto"/>
            </w:pPr>
            <w:r/>
            <w:r>
              <w:rPr>
                <w:rFonts w:ascii="Times New Roman" w:hAnsi="Times New Roman" w:eastAsia="SimSun"/>
                <w:b w:val="0"/>
                <w:sz w:val="21"/>
              </w:rPr>
              <w:t>会计账册、原始凭证与估值记录</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5</w:t>
            </w:r>
          </w:p>
        </w:tc>
        <w:tc>
          <w:tcPr>
            <w:tcW w:type="dxa" w:w="1560"/>
          </w:tcPr>
          <w:p>
            <w:pPr>
              <w:spacing w:line="288" w:lineRule="auto"/>
            </w:pPr>
            <w:r/>
            <w:r>
              <w:rPr>
                <w:rFonts w:ascii="Times New Roman" w:hAnsi="Times New Roman" w:eastAsia="SimSun"/>
                <w:b w:val="0"/>
                <w:sz w:val="21"/>
              </w:rPr>
              <w:t>投资项目档案（尽职调查报告、投资交易文件、投后管理记录）</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6</w:t>
            </w:r>
          </w:p>
        </w:tc>
        <w:tc>
          <w:tcPr>
            <w:tcW w:type="dxa" w:w="1560"/>
          </w:tcPr>
          <w:p>
            <w:pPr>
              <w:spacing w:line="288" w:lineRule="auto"/>
            </w:pPr>
            <w:r/>
            <w:r>
              <w:rPr>
                <w:rFonts w:ascii="Times New Roman" w:hAnsi="Times New Roman" w:eastAsia="SimSun"/>
                <w:b w:val="0"/>
                <w:sz w:val="21"/>
              </w:rPr>
              <w:t>募集结算资金专用账户资料及监督协议</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7</w:t>
            </w:r>
          </w:p>
        </w:tc>
        <w:tc>
          <w:tcPr>
            <w:tcW w:type="dxa" w:w="1560"/>
          </w:tcPr>
          <w:p>
            <w:pPr>
              <w:spacing w:line="288" w:lineRule="auto"/>
            </w:pPr>
            <w:r/>
            <w:r>
              <w:rPr>
                <w:rFonts w:ascii="Times New Roman" w:hAnsi="Times New Roman" w:eastAsia="SimSun"/>
                <w:b w:val="0"/>
                <w:sz w:val="21"/>
              </w:rPr>
              <w:t>信息披露备份平台账号及历史披露记录</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8</w:t>
            </w:r>
          </w:p>
        </w:tc>
        <w:tc>
          <w:tcPr>
            <w:tcW w:type="dxa" w:w="1560"/>
          </w:tcPr>
          <w:p>
            <w:pPr>
              <w:spacing w:line="288" w:lineRule="auto"/>
            </w:pPr>
            <w:r/>
            <w:r>
              <w:rPr>
                <w:rFonts w:ascii="Times New Roman" w:hAnsi="Times New Roman" w:eastAsia="SimSun"/>
                <w:b w:val="0"/>
                <w:sz w:val="21"/>
              </w:rPr>
              <w:t>以【基金】名义刻制或保管的印章、证照及网银介质</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9</w:t>
            </w:r>
          </w:p>
        </w:tc>
        <w:tc>
          <w:tcPr>
            <w:tcW w:type="dxa" w:w="1560"/>
          </w:tcPr>
          <w:p>
            <w:pPr>
              <w:spacing w:line="288" w:lineRule="auto"/>
            </w:pPr>
            <w:r/>
            <w:r>
              <w:rPr>
                <w:rFonts w:ascii="Times New Roman" w:hAnsi="Times New Roman" w:eastAsia="SimSun"/>
                <w:b w:val="0"/>
                <w:sz w:val="21"/>
              </w:rPr>
              <w:t>未决事项清单（未决诉讼仲裁、未履约事项、监管问询及整改事项）</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10</w:t>
            </w:r>
          </w:p>
        </w:tc>
        <w:tc>
          <w:tcPr>
            <w:tcW w:type="dxa" w:w="1560"/>
          </w:tcPr>
          <w:p>
            <w:pPr>
              <w:spacing w:line="288" w:lineRule="auto"/>
            </w:pPr>
            <w:r/>
            <w:r>
              <w:rPr>
                <w:rFonts w:ascii="Times New Roman" w:hAnsi="Times New Roman" w:eastAsia="SimSun"/>
                <w:b w:val="0"/>
                <w:sz w:val="21"/>
              </w:rPr>
              <w:t>其他：【●】</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bl>
    <w:p>
      <w:pPr>
        <w:spacing w:line="319" w:lineRule="auto" w:after="40"/>
        <w:jc w:val="both"/>
      </w:pPr>
      <w:r>
        <w:rPr>
          <w:rFonts w:ascii="Times New Roman" w:hAnsi="Times New Roman" w:eastAsia="SimSun"/>
          <w:b w:val="0"/>
          <w:sz w:val="24"/>
        </w:rPr>
        <w:t>附件二：投资者名录及签署页（按实际编制）</w:t>
      </w:r>
    </w:p>
    <w:p>
      <w:pPr>
        <w:spacing w:line="319" w:lineRule="auto" w:after="40"/>
        <w:jc w:val="both"/>
      </w:pPr>
      <w:r>
        <w:rPr>
          <w:rFonts w:ascii="Times New Roman" w:hAnsi="Times New Roman" w:eastAsia="SimSun"/>
          <w:b w:val="0"/>
          <w:sz w:val="24"/>
        </w:rPr>
        <w:t>附件三：投资者会议决议（可采用本包11号文书）</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10_变更私募基金管理人协议（四方）</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