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基金份额受让尽职调查清单</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清单供【受让方】在受让【基金】财产份额前开展尽职调查使用，应当逐项核查并在"核查结果"栏如实记录。特别提示责任分轨：受让普通合伙人（GP）份额的，【受让方】作为新普通合伙人对入伙前【基金】的债务承担无限连带责任（《合伙企业法》第四十四条），该等责任对外不因【转让方】与【受让方】之间的任何内部约定而免除，因此负债与或有负债核查是GP轨的生死项——第一部分第7项、第8项中任何一项无法核实清楚，均应当作为重大风险事项处理，不得带疑推进交割。受让有限合伙人（LP）份额的，【受让方】对入伙前【基金】债务以其认缴的出资额为限承担责任（《合伙企业法》第七十七条），核查重点相应侧重标的份额权属、实缴情况与合伙协议限制条款。】</w:t>
      </w:r>
    </w:p>
    <w:p>
      <w:pPr>
        <w:spacing w:line="319" w:lineRule="auto" w:after="40"/>
        <w:jc w:val="both"/>
      </w:pPr>
      <w:r>
        <w:rPr>
          <w:rFonts w:ascii="Times New Roman" w:hAnsi="Times New Roman" w:eastAsia="SimSun"/>
          <w:b w:val="0"/>
          <w:sz w:val="24"/>
        </w:rPr>
        <w:t>使用说明：本清单按基金层面、标的份额层面、转让方层面、管理人与治理层面、受让方自查五个部分设置核查项，每项列明建议的资料来源与典型风险信号。核查结果栏建议按"□无异常／□发现问题（注明问题概要及佐证资料编号）／□无法核实"三种状态记录；"无法核实"不等于"无异常"，对无法核实的事项应当按照本清单第六部分的处理建议进入交易文件安排。核查基准日：【●】年【●】月【●】日；核查基准日至交割日之间发生的变化，应当通过交割前补充核查或者【转让方】交割确认机制予以覆盖。</w:t>
      </w:r>
    </w:p>
    <w:p>
      <w:pPr>
        <w:spacing w:line="341" w:lineRule="auto" w:before="200" w:after="120"/>
      </w:pPr>
      <w:r>
        <w:rPr>
          <w:rFonts w:ascii="Times New Roman" w:hAnsi="Times New Roman" w:eastAsia="SimHei"/>
          <w:b/>
          <w:sz w:val="28"/>
        </w:rPr>
        <w:t>第一部分　基金层面核查</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核查项</w:t>
            </w:r>
          </w:p>
        </w:tc>
        <w:tc>
          <w:tcPr>
            <w:tcW w:type="dxa" w:w="2340"/>
          </w:tcPr>
          <w:p>
            <w:pPr>
              <w:spacing w:line="288" w:lineRule="auto"/>
            </w:pPr>
            <w:r/>
            <w:r>
              <w:rPr>
                <w:rFonts w:ascii="Times New Roman" w:hAnsi="Times New Roman" w:eastAsia="SimHei"/>
                <w:b/>
                <w:sz w:val="21"/>
              </w:rPr>
              <w:t>资料来源</w:t>
            </w:r>
          </w:p>
        </w:tc>
        <w:tc>
          <w:tcPr>
            <w:tcW w:type="dxa" w:w="2340"/>
          </w:tcPr>
          <w:p>
            <w:pPr>
              <w:spacing w:line="288" w:lineRule="auto"/>
            </w:pPr>
            <w:r/>
            <w:r>
              <w:rPr>
                <w:rFonts w:ascii="Times New Roman" w:hAnsi="Times New Roman" w:eastAsia="SimHei"/>
                <w:b/>
                <w:sz w:val="21"/>
              </w:rPr>
              <w:t>风险信号</w:t>
            </w:r>
          </w:p>
        </w:tc>
        <w:tc>
          <w:tcPr>
            <w:tcW w:type="dxa" w:w="2340"/>
          </w:tcPr>
          <w:p>
            <w:pPr>
              <w:spacing w:line="288" w:lineRule="auto"/>
            </w:pPr>
            <w:r/>
            <w:r>
              <w:rPr>
                <w:rFonts w:ascii="Times New Roman" w:hAnsi="Times New Roman" w:eastAsia="SimHei"/>
                <w:b/>
                <w:sz w:val="21"/>
              </w:rPr>
              <w:t>核查结果</w:t>
            </w:r>
          </w:p>
        </w:tc>
      </w:tr>
      <w:tr>
        <w:tc>
          <w:tcPr>
            <w:tcW w:type="dxa" w:w="2340"/>
          </w:tcPr>
          <w:p>
            <w:pPr>
              <w:spacing w:line="288" w:lineRule="auto"/>
            </w:pPr>
            <w:r/>
            <w:r>
              <w:rPr>
                <w:rFonts w:ascii="Times New Roman" w:hAnsi="Times New Roman" w:eastAsia="SimSun"/>
                <w:b w:val="0"/>
                <w:sz w:val="21"/>
              </w:rPr>
              <w:t>1、中国证券投资基金业协会备案信息与运作状态</w:t>
            </w:r>
          </w:p>
        </w:tc>
        <w:tc>
          <w:tcPr>
            <w:tcW w:type="dxa" w:w="2340"/>
          </w:tcPr>
          <w:p>
            <w:pPr>
              <w:spacing w:line="288" w:lineRule="auto"/>
            </w:pPr>
            <w:r/>
            <w:r>
              <w:rPr>
                <w:rFonts w:ascii="Times New Roman" w:hAnsi="Times New Roman" w:eastAsia="SimSun"/>
                <w:b w:val="0"/>
                <w:sz w:val="21"/>
              </w:rPr>
              <w:t>协会公示的基金备案信息与管理人登记信息、基金备案证明、管理人出具的运作情况说明</w:t>
            </w:r>
          </w:p>
        </w:tc>
        <w:tc>
          <w:tcPr>
            <w:tcW w:type="dxa" w:w="2340"/>
          </w:tcPr>
          <w:p>
            <w:pPr>
              <w:spacing w:line="288" w:lineRule="auto"/>
            </w:pPr>
            <w:r/>
            <w:r>
              <w:rPr>
                <w:rFonts w:ascii="Times New Roman" w:hAnsi="Times New Roman" w:eastAsia="SimSun"/>
                <w:b w:val="0"/>
                <w:sz w:val="21"/>
              </w:rPr>
              <w:t>公示信息与实际运作情况不符；基金或者管理人被公示为异常机构、失联机构；管理人存在登记备案信息变更未按规定及时履行变更手续且未及时改正等严重情形被暂停办理私募基金备案（《私募投资基金登记备案办法》第四十二条第（六）项）</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2、合伙协议及全部修正案、基金合同、招募说明书一致性</w:t>
            </w:r>
          </w:p>
        </w:tc>
        <w:tc>
          <w:tcPr>
            <w:tcW w:type="dxa" w:w="2340"/>
          </w:tcPr>
          <w:p>
            <w:pPr>
              <w:spacing w:line="288" w:lineRule="auto"/>
            </w:pPr>
            <w:r/>
            <w:r>
              <w:rPr>
                <w:rFonts w:ascii="Times New Roman" w:hAnsi="Times New Roman" w:eastAsia="SimSun"/>
                <w:b w:val="0"/>
                <w:sz w:val="21"/>
              </w:rPr>
              <w:t>合伙协议原件及历次修正案、基金合同、招募说明书、备案留存版本、全部补充协议</w:t>
            </w:r>
          </w:p>
        </w:tc>
        <w:tc>
          <w:tcPr>
            <w:tcW w:type="dxa" w:w="2340"/>
          </w:tcPr>
          <w:p>
            <w:pPr>
              <w:spacing w:line="288" w:lineRule="auto"/>
            </w:pPr>
            <w:r/>
            <w:r>
              <w:rPr>
                <w:rFonts w:ascii="Times New Roman" w:hAnsi="Times New Roman" w:eastAsia="SimSun"/>
                <w:b w:val="0"/>
                <w:sz w:val="21"/>
              </w:rPr>
              <w:t>各版本文件关于转让限制、收益分配、责任承担等关键条款的约定相互矛盾；存在未向全体投资者披露的补充协议或者特殊权利安排；历次修正案未按约定程序签署</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3、托管协议与托管人运作情况</w:t>
            </w:r>
          </w:p>
        </w:tc>
        <w:tc>
          <w:tcPr>
            <w:tcW w:type="dxa" w:w="2340"/>
          </w:tcPr>
          <w:p>
            <w:pPr>
              <w:spacing w:line="288" w:lineRule="auto"/>
            </w:pPr>
            <w:r/>
            <w:r>
              <w:rPr>
                <w:rFonts w:ascii="Times New Roman" w:hAnsi="Times New Roman" w:eastAsia="SimSun"/>
                <w:b w:val="0"/>
                <w:sz w:val="21"/>
              </w:rPr>
              <w:t>托管协议、【托管人】出具的资产证明及对账单、托管账户流水</w:t>
            </w:r>
          </w:p>
        </w:tc>
        <w:tc>
          <w:tcPr>
            <w:tcW w:type="dxa" w:w="2340"/>
          </w:tcPr>
          <w:p>
            <w:pPr>
              <w:spacing w:line="288" w:lineRule="auto"/>
            </w:pPr>
            <w:r/>
            <w:r>
              <w:rPr>
                <w:rFonts w:ascii="Times New Roman" w:hAnsi="Times New Roman" w:eastAsia="SimSun"/>
                <w:b w:val="0"/>
                <w:sz w:val="21"/>
              </w:rPr>
              <w:t>未托管且缺乏相应保障机制约定；托管账户余额、流水与财务报表不能勾稽；【托管人】已出具风险提示或者异议函件</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4、存续期、投资期、延长安排</w:t>
            </w:r>
          </w:p>
        </w:tc>
        <w:tc>
          <w:tcPr>
            <w:tcW w:type="dxa" w:w="2340"/>
          </w:tcPr>
          <w:p>
            <w:pPr>
              <w:spacing w:line="288" w:lineRule="auto"/>
            </w:pPr>
            <w:r/>
            <w:r>
              <w:rPr>
                <w:rFonts w:ascii="Times New Roman" w:hAnsi="Times New Roman" w:eastAsia="SimSun"/>
                <w:b w:val="0"/>
                <w:sz w:val="21"/>
              </w:rPr>
              <w:t>合伙协议存续期与延长条款、历次延长决议</w:t>
            </w:r>
          </w:p>
        </w:tc>
        <w:tc>
          <w:tcPr>
            <w:tcW w:type="dxa" w:w="2340"/>
          </w:tcPr>
          <w:p>
            <w:pPr>
              <w:spacing w:line="288" w:lineRule="auto"/>
            </w:pPr>
            <w:r/>
            <w:r>
              <w:rPr>
                <w:rFonts w:ascii="Times New Roman" w:hAnsi="Times New Roman" w:eastAsia="SimSun"/>
                <w:b w:val="0"/>
                <w:sz w:val="21"/>
              </w:rPr>
              <w:t>基金临近存续期届满或者已进入清算程序（清算阶段受让份额的权利实现方式与存续期内不同）；延长决议未按合伙协议约定的程序和比例形成</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5、投资组合清单与最新估值报告</w:t>
            </w:r>
          </w:p>
        </w:tc>
        <w:tc>
          <w:tcPr>
            <w:tcW w:type="dxa" w:w="2340"/>
          </w:tcPr>
          <w:p>
            <w:pPr>
              <w:spacing w:line="288" w:lineRule="auto"/>
            </w:pPr>
            <w:r/>
            <w:r>
              <w:rPr>
                <w:rFonts w:ascii="Times New Roman" w:hAnsi="Times New Roman" w:eastAsia="SimSun"/>
                <w:b w:val="0"/>
                <w:sz w:val="21"/>
              </w:rPr>
              <w:t>投资项目清单、最新估值报告、被投企业工商登记信息、投资确权文件</w:t>
            </w:r>
          </w:p>
        </w:tc>
        <w:tc>
          <w:tcPr>
            <w:tcW w:type="dxa" w:w="2340"/>
          </w:tcPr>
          <w:p>
            <w:pPr>
              <w:spacing w:line="288" w:lineRule="auto"/>
            </w:pPr>
            <w:r/>
            <w:r>
              <w:rPr>
                <w:rFonts w:ascii="Times New Roman" w:hAnsi="Times New Roman" w:eastAsia="SimSun"/>
                <w:b w:val="0"/>
                <w:sz w:val="21"/>
              </w:rPr>
              <w:t>基金持有的被投企业股权、财产份额发生变更后未及时投资确权（《私募投资基金登记备案办法》第三十七条）；估值长期未更新或者估值方法明显激进；底层项目出现重大减值迹象</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6、未实缴认缴出资及后续缴款安排</w:t>
            </w:r>
          </w:p>
        </w:tc>
        <w:tc>
          <w:tcPr>
            <w:tcW w:type="dxa" w:w="2340"/>
          </w:tcPr>
          <w:p>
            <w:pPr>
              <w:spacing w:line="288" w:lineRule="auto"/>
            </w:pPr>
            <w:r/>
            <w:r>
              <w:rPr>
                <w:rFonts w:ascii="Times New Roman" w:hAnsi="Times New Roman" w:eastAsia="SimSun"/>
                <w:b w:val="0"/>
                <w:sz w:val="21"/>
              </w:rPr>
              <w:t>合伙协议出资条款、历次缴款通知、实缴凭证、财务记录</w:t>
            </w:r>
          </w:p>
        </w:tc>
        <w:tc>
          <w:tcPr>
            <w:tcW w:type="dxa" w:w="2340"/>
          </w:tcPr>
          <w:p>
            <w:pPr>
              <w:spacing w:line="288" w:lineRule="auto"/>
            </w:pPr>
            <w:r/>
            <w:r>
              <w:rPr>
                <w:rFonts w:ascii="Times New Roman" w:hAnsi="Times New Roman" w:eastAsia="SimSun"/>
                <w:b w:val="0"/>
                <w:sz w:val="21"/>
              </w:rPr>
              <w:t>标的份额项下存在未实缴出资而后续缴款义务的承接安排不明；其他合伙人存在缴款违约并已影响基金投资运作</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7、基金对外负债、担保、回购义务、差额补足承诺</w:t>
            </w:r>
          </w:p>
        </w:tc>
        <w:tc>
          <w:tcPr>
            <w:tcW w:type="dxa" w:w="2340"/>
          </w:tcPr>
          <w:p>
            <w:pPr>
              <w:spacing w:line="288" w:lineRule="auto"/>
            </w:pPr>
            <w:r/>
            <w:r>
              <w:rPr>
                <w:rFonts w:ascii="Times New Roman" w:hAnsi="Times New Roman" w:eastAsia="SimSun"/>
                <w:b w:val="0"/>
                <w:sz w:val="21"/>
              </w:rPr>
              <w:t>财务报表及审计报告、借款与担保合同、含回购或者差额补足条款的投资文件、管理人出具的账外义务书面声明</w:t>
            </w:r>
          </w:p>
        </w:tc>
        <w:tc>
          <w:tcPr>
            <w:tcW w:type="dxa" w:w="2340"/>
          </w:tcPr>
          <w:p>
            <w:pPr>
              <w:spacing w:line="288" w:lineRule="auto"/>
            </w:pPr>
            <w:r/>
            <w:r>
              <w:rPr>
                <w:rFonts w:ascii="Times New Roman" w:hAnsi="Times New Roman" w:eastAsia="SimSun"/>
                <w:b w:val="0"/>
                <w:sz w:val="21"/>
              </w:rPr>
              <w:t>存在账外负债、对外担保、回购义务或者差额补足承诺；财务报表附注与合同文件不一致；管理人拒绝或者无法出具书面确认（GP轨下本项任何遗漏都会直接转化为【受让方】的无限连带责任敞口）</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8、未决诉讼、仲裁与强制执行</w:t>
            </w:r>
          </w:p>
        </w:tc>
        <w:tc>
          <w:tcPr>
            <w:tcW w:type="dxa" w:w="2340"/>
          </w:tcPr>
          <w:p>
            <w:pPr>
              <w:spacing w:line="288" w:lineRule="auto"/>
            </w:pPr>
            <w:r/>
            <w:r>
              <w:rPr>
                <w:rFonts w:ascii="Times New Roman" w:hAnsi="Times New Roman" w:eastAsia="SimSun"/>
                <w:b w:val="0"/>
                <w:sz w:val="21"/>
              </w:rPr>
              <w:t>公开裁判文书、执行信息、失信与限制消费信息检索记录、管理人书面说明</w:t>
            </w:r>
          </w:p>
        </w:tc>
        <w:tc>
          <w:tcPr>
            <w:tcW w:type="dxa" w:w="2340"/>
          </w:tcPr>
          <w:p>
            <w:pPr>
              <w:spacing w:line="288" w:lineRule="auto"/>
            </w:pPr>
            <w:r/>
            <w:r>
              <w:rPr>
                <w:rFonts w:ascii="Times New Roman" w:hAnsi="Times New Roman" w:eastAsia="SimSun"/>
                <w:b w:val="0"/>
                <w:sz w:val="21"/>
              </w:rPr>
              <w:t>【基金】作为被告、被申请人或者被执行人的未决案件；基金财产被查封、冻结、扣划；存在可预见将转化为诉讼的争议函件往来</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9、关联交易安排</w:t>
            </w:r>
          </w:p>
        </w:tc>
        <w:tc>
          <w:tcPr>
            <w:tcW w:type="dxa" w:w="2340"/>
          </w:tcPr>
          <w:p>
            <w:pPr>
              <w:spacing w:line="288" w:lineRule="auto"/>
            </w:pPr>
            <w:r/>
            <w:r>
              <w:rPr>
                <w:rFonts w:ascii="Times New Roman" w:hAnsi="Times New Roman" w:eastAsia="SimSun"/>
                <w:b w:val="0"/>
                <w:sz w:val="21"/>
              </w:rPr>
              <w:t>关联交易清单、合伙人会议或者咨询委员会审议记录、资金往来流水</w:t>
            </w:r>
          </w:p>
        </w:tc>
        <w:tc>
          <w:tcPr>
            <w:tcW w:type="dxa" w:w="2340"/>
          </w:tcPr>
          <w:p>
            <w:pPr>
              <w:spacing w:line="288" w:lineRule="auto"/>
            </w:pPr>
            <w:r/>
            <w:r>
              <w:rPr>
                <w:rFonts w:ascii="Times New Roman" w:hAnsi="Times New Roman" w:eastAsia="SimSun"/>
                <w:b w:val="0"/>
                <w:sz w:val="21"/>
              </w:rPr>
              <w:t>【基金】与管理人及其关联方之间存在未经合伙协议约定程序审议的资金往来；存在管理费之外的利益输送迹象</w:t>
            </w:r>
          </w:p>
        </w:tc>
        <w:tc>
          <w:tcPr>
            <w:tcW w:type="dxa" w:w="2340"/>
          </w:tcPr>
          <w:p>
            <w:pPr>
              <w:spacing w:line="288" w:lineRule="auto"/>
            </w:pPr>
            <w:r/>
            <w:r>
              <w:rPr>
                <w:rFonts w:ascii="Times New Roman" w:hAnsi="Times New Roman" w:eastAsia="SimSun"/>
                <w:b w:val="0"/>
                <w:sz w:val="21"/>
              </w:rPr>
              <w:t>□无异常　□发现问题　□无法核实</w:t>
            </w:r>
          </w:p>
        </w:tc>
      </w:tr>
    </w:tbl>
    <w:p>
      <w:pPr>
        <w:spacing w:line="341" w:lineRule="auto" w:before="200" w:after="120"/>
      </w:pPr>
      <w:r>
        <w:rPr>
          <w:rFonts w:ascii="Times New Roman" w:hAnsi="Times New Roman" w:eastAsia="SimHei"/>
          <w:b/>
          <w:sz w:val="28"/>
        </w:rPr>
        <w:t>第二部分　标的份额层面核查</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核查项</w:t>
            </w:r>
          </w:p>
        </w:tc>
        <w:tc>
          <w:tcPr>
            <w:tcW w:type="dxa" w:w="2340"/>
          </w:tcPr>
          <w:p>
            <w:pPr>
              <w:spacing w:line="288" w:lineRule="auto"/>
            </w:pPr>
            <w:r/>
            <w:r>
              <w:rPr>
                <w:rFonts w:ascii="Times New Roman" w:hAnsi="Times New Roman" w:eastAsia="SimHei"/>
                <w:b/>
                <w:sz w:val="21"/>
              </w:rPr>
              <w:t>资料来源</w:t>
            </w:r>
          </w:p>
        </w:tc>
        <w:tc>
          <w:tcPr>
            <w:tcW w:type="dxa" w:w="2340"/>
          </w:tcPr>
          <w:p>
            <w:pPr>
              <w:spacing w:line="288" w:lineRule="auto"/>
            </w:pPr>
            <w:r/>
            <w:r>
              <w:rPr>
                <w:rFonts w:ascii="Times New Roman" w:hAnsi="Times New Roman" w:eastAsia="SimHei"/>
                <w:b/>
                <w:sz w:val="21"/>
              </w:rPr>
              <w:t>风险信号</w:t>
            </w:r>
          </w:p>
        </w:tc>
        <w:tc>
          <w:tcPr>
            <w:tcW w:type="dxa" w:w="2340"/>
          </w:tcPr>
          <w:p>
            <w:pPr>
              <w:spacing w:line="288" w:lineRule="auto"/>
            </w:pPr>
            <w:r/>
            <w:r>
              <w:rPr>
                <w:rFonts w:ascii="Times New Roman" w:hAnsi="Times New Roman" w:eastAsia="SimHei"/>
                <w:b/>
                <w:sz w:val="21"/>
              </w:rPr>
              <w:t>核查结果</w:t>
            </w:r>
          </w:p>
        </w:tc>
      </w:tr>
      <w:tr>
        <w:tc>
          <w:tcPr>
            <w:tcW w:type="dxa" w:w="2340"/>
          </w:tcPr>
          <w:p>
            <w:pPr>
              <w:spacing w:line="288" w:lineRule="auto"/>
            </w:pPr>
            <w:r/>
            <w:r>
              <w:rPr>
                <w:rFonts w:ascii="Times New Roman" w:hAnsi="Times New Roman" w:eastAsia="SimSun"/>
                <w:b w:val="0"/>
                <w:sz w:val="21"/>
              </w:rPr>
              <w:t>1、权属与出资凭证</w:t>
            </w:r>
          </w:p>
        </w:tc>
        <w:tc>
          <w:tcPr>
            <w:tcW w:type="dxa" w:w="2340"/>
          </w:tcPr>
          <w:p>
            <w:pPr>
              <w:spacing w:line="288" w:lineRule="auto"/>
            </w:pPr>
            <w:r/>
            <w:r>
              <w:rPr>
                <w:rFonts w:ascii="Times New Roman" w:hAnsi="Times New Roman" w:eastAsia="SimSun"/>
                <w:b w:val="0"/>
                <w:sz w:val="21"/>
              </w:rPr>
              <w:t>出资证明书、实缴出资银行流水、合伙人名册、工商登记信息</w:t>
            </w:r>
          </w:p>
        </w:tc>
        <w:tc>
          <w:tcPr>
            <w:tcW w:type="dxa" w:w="2340"/>
          </w:tcPr>
          <w:p>
            <w:pPr>
              <w:spacing w:line="288" w:lineRule="auto"/>
            </w:pPr>
            <w:r/>
            <w:r>
              <w:rPr>
                <w:rFonts w:ascii="Times New Roman" w:hAnsi="Times New Roman" w:eastAsia="SimSun"/>
                <w:b w:val="0"/>
                <w:sz w:val="21"/>
              </w:rPr>
              <w:t>工商登记的合伙人信息与合伙人名册、备案信息不一致；实缴流水的付款主体与【转让方】不一致或者金额不能勾稽</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2、质押、冻结、保全</w:t>
            </w:r>
          </w:p>
        </w:tc>
        <w:tc>
          <w:tcPr>
            <w:tcW w:type="dxa" w:w="2340"/>
          </w:tcPr>
          <w:p>
            <w:pPr>
              <w:spacing w:line="288" w:lineRule="auto"/>
            </w:pPr>
            <w:r/>
            <w:r>
              <w:rPr>
                <w:rFonts w:ascii="Times New Roman" w:hAnsi="Times New Roman" w:eastAsia="SimSun"/>
                <w:b w:val="0"/>
                <w:sz w:val="21"/>
              </w:rPr>
              <w:t>市场监督管理部门出质登记信息、人民法院冻结与保全信息检索记录、【转让方】书面声明</w:t>
            </w:r>
          </w:p>
        </w:tc>
        <w:tc>
          <w:tcPr>
            <w:tcW w:type="dxa" w:w="2340"/>
          </w:tcPr>
          <w:p>
            <w:pPr>
              <w:spacing w:line="288" w:lineRule="auto"/>
            </w:pPr>
            <w:r/>
            <w:r>
              <w:rPr>
                <w:rFonts w:ascii="Times New Roman" w:hAnsi="Times New Roman" w:eastAsia="SimSun"/>
                <w:b w:val="0"/>
                <w:sz w:val="21"/>
              </w:rPr>
              <w:t>标的份额已办理出质登记；已被人民法院冻结或者采取保全措施；【转让方】为被执行人（标的份额存在被强制执行的现实风险，瑕疵未解除前交割存在权利障碍）</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3、收益权是否已拆分转让或者设立信托</w:t>
            </w:r>
          </w:p>
        </w:tc>
        <w:tc>
          <w:tcPr>
            <w:tcW w:type="dxa" w:w="2340"/>
          </w:tcPr>
          <w:p>
            <w:pPr>
              <w:spacing w:line="288" w:lineRule="auto"/>
            </w:pPr>
            <w:r/>
            <w:r>
              <w:rPr>
                <w:rFonts w:ascii="Times New Roman" w:hAnsi="Times New Roman" w:eastAsia="SimSun"/>
                <w:b w:val="0"/>
                <w:sz w:val="21"/>
              </w:rPr>
              <w:t>【转让方】书面声明、相关收益权转让文件与信托、资管安排核查、管理人及【托管人】确认</w:t>
            </w:r>
          </w:p>
        </w:tc>
        <w:tc>
          <w:tcPr>
            <w:tcW w:type="dxa" w:w="2340"/>
          </w:tcPr>
          <w:p>
            <w:pPr>
              <w:spacing w:line="288" w:lineRule="auto"/>
            </w:pPr>
            <w:r/>
            <w:r>
              <w:rPr>
                <w:rFonts w:ascii="Times New Roman" w:hAnsi="Times New Roman" w:eastAsia="SimSun"/>
                <w:b w:val="0"/>
                <w:sz w:val="21"/>
              </w:rPr>
              <w:t>标的份额收益权已拆分转让，或者份额之上已设立信托、资管等安排（不得将基金份额或者其收益权拆分转让、降低合格投资者标准——《私募投资基金监督管理条例》第十八条）</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4、是否存在代持</w:t>
            </w:r>
          </w:p>
        </w:tc>
        <w:tc>
          <w:tcPr>
            <w:tcW w:type="dxa" w:w="2340"/>
          </w:tcPr>
          <w:p>
            <w:pPr>
              <w:spacing w:line="288" w:lineRule="auto"/>
            </w:pPr>
            <w:r/>
            <w:r>
              <w:rPr>
                <w:rFonts w:ascii="Times New Roman" w:hAnsi="Times New Roman" w:eastAsia="SimSun"/>
                <w:b w:val="0"/>
                <w:sz w:val="21"/>
              </w:rPr>
              <w:t>【转让方】及名义持有人书面声明、原始出资资金来源流水</w:t>
            </w:r>
          </w:p>
        </w:tc>
        <w:tc>
          <w:tcPr>
            <w:tcW w:type="dxa" w:w="2340"/>
          </w:tcPr>
          <w:p>
            <w:pPr>
              <w:spacing w:line="288" w:lineRule="auto"/>
            </w:pPr>
            <w:r/>
            <w:r>
              <w:rPr>
                <w:rFonts w:ascii="Times New Roman" w:hAnsi="Times New Roman" w:eastAsia="SimSun"/>
                <w:b w:val="0"/>
                <w:sz w:val="21"/>
              </w:rPr>
              <w:t>【转让方】仅为名义持有人而实际出资人另有其人；实际出资人未出具同意转让的书面文件；原始出资资金来源与【转让方】自有资金不符</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5、合伙协议对转让的限制条款</w:t>
            </w:r>
          </w:p>
        </w:tc>
        <w:tc>
          <w:tcPr>
            <w:tcW w:type="dxa" w:w="2340"/>
          </w:tcPr>
          <w:p>
            <w:pPr>
              <w:spacing w:line="288" w:lineRule="auto"/>
            </w:pPr>
            <w:r/>
            <w:r>
              <w:rPr>
                <w:rFonts w:ascii="Times New Roman" w:hAnsi="Times New Roman" w:eastAsia="SimSun"/>
                <w:b w:val="0"/>
                <w:sz w:val="21"/>
              </w:rPr>
              <w:t>合伙协议及修正案中的同意程序、优先购买权、受让方资格条件、禁售期条款</w:t>
            </w:r>
          </w:p>
        </w:tc>
        <w:tc>
          <w:tcPr>
            <w:tcW w:type="dxa" w:w="2340"/>
          </w:tcPr>
          <w:p>
            <w:pPr>
              <w:spacing w:line="288" w:lineRule="auto"/>
            </w:pPr>
            <w:r/>
            <w:r>
              <w:rPr>
                <w:rFonts w:ascii="Times New Roman" w:hAnsi="Times New Roman" w:eastAsia="SimSun"/>
                <w:b w:val="0"/>
                <w:sz w:val="21"/>
              </w:rPr>
              <w:t>本次转让所需同意尚未取得或者取得形式不符合约定；【其他合伙人】的优先购买权未放弃或者行使期限未届满；【受让方】不满足约定的资格条件；标的份额处于约定禁售期内</w:t>
            </w:r>
          </w:p>
        </w:tc>
        <w:tc>
          <w:tcPr>
            <w:tcW w:type="dxa" w:w="2340"/>
          </w:tcPr>
          <w:p>
            <w:pPr>
              <w:spacing w:line="288" w:lineRule="auto"/>
            </w:pPr>
            <w:r/>
            <w:r>
              <w:rPr>
                <w:rFonts w:ascii="Times New Roman" w:hAnsi="Times New Roman" w:eastAsia="SimSun"/>
                <w:b w:val="0"/>
                <w:sz w:val="21"/>
              </w:rPr>
              <w:t>□无异常　□发现问题　□无法核实</w:t>
            </w:r>
          </w:p>
        </w:tc>
      </w:tr>
    </w:tbl>
    <w:p>
      <w:pPr>
        <w:spacing w:line="300" w:lineRule="auto" w:after="60"/>
        <w:jc w:val="both"/>
      </w:pPr>
      <w:r>
        <w:rPr>
          <w:rFonts w:ascii="Times New Roman" w:hAnsi="Times New Roman" w:eastAsia="SimSun"/>
          <w:b w:val="0"/>
          <w:color w:val="7F7F7F"/>
          <w:sz w:val="21"/>
        </w:rPr>
        <w:t>【拟稿注：合伙协议限制条款是标的份额层面的第一道闸。裁判实践中有案例认为，合伙协议对普通合伙人转让份额设置的限制条款有效，未按约定取得同意的转让合同不生效；亦有案例认为，全体合伙人共同签署的变更决定书可以证明同意转让并放弃优先购买权。故对本部分第5项的核查结论应当落实为书面同意文件（本包03号《合伙人会议决议暨全体合伙人决定书》），不能满足于口头确认或者事后追认的预期。】</w:t>
      </w:r>
    </w:p>
    <w:p>
      <w:pPr>
        <w:spacing w:line="341" w:lineRule="auto" w:before="200" w:after="120"/>
      </w:pPr>
      <w:r>
        <w:rPr>
          <w:rFonts w:ascii="Times New Roman" w:hAnsi="Times New Roman" w:eastAsia="SimHei"/>
          <w:b/>
          <w:sz w:val="28"/>
        </w:rPr>
        <w:t>第三部分　转让方层面核查</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核查项</w:t>
            </w:r>
          </w:p>
        </w:tc>
        <w:tc>
          <w:tcPr>
            <w:tcW w:type="dxa" w:w="2340"/>
          </w:tcPr>
          <w:p>
            <w:pPr>
              <w:spacing w:line="288" w:lineRule="auto"/>
            </w:pPr>
            <w:r/>
            <w:r>
              <w:rPr>
                <w:rFonts w:ascii="Times New Roman" w:hAnsi="Times New Roman" w:eastAsia="SimHei"/>
                <w:b/>
                <w:sz w:val="21"/>
              </w:rPr>
              <w:t>资料来源</w:t>
            </w:r>
          </w:p>
        </w:tc>
        <w:tc>
          <w:tcPr>
            <w:tcW w:type="dxa" w:w="2340"/>
          </w:tcPr>
          <w:p>
            <w:pPr>
              <w:spacing w:line="288" w:lineRule="auto"/>
            </w:pPr>
            <w:r/>
            <w:r>
              <w:rPr>
                <w:rFonts w:ascii="Times New Roman" w:hAnsi="Times New Roman" w:eastAsia="SimHei"/>
                <w:b/>
                <w:sz w:val="21"/>
              </w:rPr>
              <w:t>风险信号</w:t>
            </w:r>
          </w:p>
        </w:tc>
        <w:tc>
          <w:tcPr>
            <w:tcW w:type="dxa" w:w="2340"/>
          </w:tcPr>
          <w:p>
            <w:pPr>
              <w:spacing w:line="288" w:lineRule="auto"/>
            </w:pPr>
            <w:r/>
            <w:r>
              <w:rPr>
                <w:rFonts w:ascii="Times New Roman" w:hAnsi="Times New Roman" w:eastAsia="SimHei"/>
                <w:b/>
                <w:sz w:val="21"/>
              </w:rPr>
              <w:t>核查结果</w:t>
            </w:r>
          </w:p>
        </w:tc>
      </w:tr>
      <w:tr>
        <w:tc>
          <w:tcPr>
            <w:tcW w:type="dxa" w:w="2340"/>
          </w:tcPr>
          <w:p>
            <w:pPr>
              <w:spacing w:line="288" w:lineRule="auto"/>
            </w:pPr>
            <w:r/>
            <w:r>
              <w:rPr>
                <w:rFonts w:ascii="Times New Roman" w:hAnsi="Times New Roman" w:eastAsia="SimSun"/>
                <w:b w:val="0"/>
                <w:sz w:val="21"/>
              </w:rPr>
              <w:t>1、【GP轨】管理人登记状态与诚信信息</w:t>
            </w:r>
          </w:p>
        </w:tc>
        <w:tc>
          <w:tcPr>
            <w:tcW w:type="dxa" w:w="2340"/>
          </w:tcPr>
          <w:p>
            <w:pPr>
              <w:spacing w:line="288" w:lineRule="auto"/>
            </w:pPr>
            <w:r/>
            <w:r>
              <w:rPr>
                <w:rFonts w:ascii="Times New Roman" w:hAnsi="Times New Roman" w:eastAsia="SimSun"/>
                <w:b w:val="0"/>
                <w:sz w:val="21"/>
              </w:rPr>
              <w:t>协会公示的管理人登记信息、诚信信息记录</w:t>
            </w:r>
          </w:p>
        </w:tc>
        <w:tc>
          <w:tcPr>
            <w:tcW w:type="dxa" w:w="2340"/>
          </w:tcPr>
          <w:p>
            <w:pPr>
              <w:spacing w:line="288" w:lineRule="auto"/>
            </w:pPr>
            <w:r/>
            <w:r>
              <w:rPr>
                <w:rFonts w:ascii="Times New Roman" w:hAnsi="Times New Roman" w:eastAsia="SimSun"/>
                <w:b w:val="0"/>
                <w:sz w:val="21"/>
              </w:rPr>
              <w:t>【转让方】或者其关联的管理人存在经营异常、信息报送异常、失联等公示记录</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2、【GP轨】监管处分与自律处分</w:t>
            </w:r>
          </w:p>
        </w:tc>
        <w:tc>
          <w:tcPr>
            <w:tcW w:type="dxa" w:w="2340"/>
          </w:tcPr>
          <w:p>
            <w:pPr>
              <w:spacing w:line="288" w:lineRule="auto"/>
            </w:pPr>
            <w:r/>
            <w:r>
              <w:rPr>
                <w:rFonts w:ascii="Times New Roman" w:hAnsi="Times New Roman" w:eastAsia="SimSun"/>
                <w:b w:val="0"/>
                <w:sz w:val="21"/>
              </w:rPr>
              <w:t>中国证监会及其派出机构行政处罚与监管措施公示、协会纪律处分公示</w:t>
            </w:r>
          </w:p>
        </w:tc>
        <w:tc>
          <w:tcPr>
            <w:tcW w:type="dxa" w:w="2340"/>
          </w:tcPr>
          <w:p>
            <w:pPr>
              <w:spacing w:line="288" w:lineRule="auto"/>
            </w:pPr>
            <w:r/>
            <w:r>
              <w:rPr>
                <w:rFonts w:ascii="Times New Roman" w:hAnsi="Times New Roman" w:eastAsia="SimSun"/>
                <w:b w:val="0"/>
                <w:sz w:val="21"/>
              </w:rPr>
              <w:t>存在尚未了结的行政处罚、监管措施或者自律处分程序（可能影响后续变更手续办理及相关人员任职）</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3、【GP轨】失信被执行与重大债务</w:t>
            </w:r>
          </w:p>
        </w:tc>
        <w:tc>
          <w:tcPr>
            <w:tcW w:type="dxa" w:w="2340"/>
          </w:tcPr>
          <w:p>
            <w:pPr>
              <w:spacing w:line="288" w:lineRule="auto"/>
            </w:pPr>
            <w:r/>
            <w:r>
              <w:rPr>
                <w:rFonts w:ascii="Times New Roman" w:hAnsi="Times New Roman" w:eastAsia="SimSun"/>
                <w:b w:val="0"/>
                <w:sz w:val="21"/>
              </w:rPr>
              <w:t>失信被执行人信息、被执行人信息、终结本次执行案件信息检索记录</w:t>
            </w:r>
          </w:p>
        </w:tc>
        <w:tc>
          <w:tcPr>
            <w:tcW w:type="dxa" w:w="2340"/>
          </w:tcPr>
          <w:p>
            <w:pPr>
              <w:spacing w:line="288" w:lineRule="auto"/>
            </w:pPr>
            <w:r/>
            <w:r>
              <w:rPr>
                <w:rFonts w:ascii="Times New Roman" w:hAnsi="Times New Roman" w:eastAsia="SimSun"/>
                <w:b w:val="0"/>
                <w:sz w:val="21"/>
              </w:rPr>
              <w:t>【转让方】为失信被执行人或者存在大额未了结执行案件（本次转让存在被其债权人主张撤销的风险，标的份额亦可能被追加执行）</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4、【GP轨】执行事务合伙人职务与委派代表</w:t>
            </w:r>
          </w:p>
        </w:tc>
        <w:tc>
          <w:tcPr>
            <w:tcW w:type="dxa" w:w="2340"/>
          </w:tcPr>
          <w:p>
            <w:pPr>
              <w:spacing w:line="288" w:lineRule="auto"/>
            </w:pPr>
            <w:r/>
            <w:r>
              <w:rPr>
                <w:rFonts w:ascii="Times New Roman" w:hAnsi="Times New Roman" w:eastAsia="SimSun"/>
                <w:b w:val="0"/>
                <w:sz w:val="21"/>
              </w:rPr>
              <w:t>合伙协议、工商登记信息、委派代表委派文件（《合伙企业法》第二十六条第三款）</w:t>
            </w:r>
          </w:p>
        </w:tc>
        <w:tc>
          <w:tcPr>
            <w:tcW w:type="dxa" w:w="2340"/>
          </w:tcPr>
          <w:p>
            <w:pPr>
              <w:spacing w:line="288" w:lineRule="auto"/>
            </w:pPr>
            <w:r/>
            <w:r>
              <w:rPr>
                <w:rFonts w:ascii="Times New Roman" w:hAnsi="Times New Roman" w:eastAsia="SimSun"/>
                <w:b w:val="0"/>
                <w:sz w:val="21"/>
              </w:rPr>
              <w:t>【转让方】同时担任【执行事务合伙人】而继任安排尚未落实；委派代表已实际离任但工商登记与协会登记信息未同步变更</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5、【LP轨】出资凭证完整性</w:t>
            </w:r>
          </w:p>
        </w:tc>
        <w:tc>
          <w:tcPr>
            <w:tcW w:type="dxa" w:w="2340"/>
          </w:tcPr>
          <w:p>
            <w:pPr>
              <w:spacing w:line="288" w:lineRule="auto"/>
            </w:pPr>
            <w:r/>
            <w:r>
              <w:rPr>
                <w:rFonts w:ascii="Times New Roman" w:hAnsi="Times New Roman" w:eastAsia="SimSun"/>
                <w:b w:val="0"/>
                <w:sz w:val="21"/>
              </w:rPr>
              <w:t>出资证明书、缴款银行流水</w:t>
            </w:r>
          </w:p>
        </w:tc>
        <w:tc>
          <w:tcPr>
            <w:tcW w:type="dxa" w:w="2340"/>
          </w:tcPr>
          <w:p>
            <w:pPr>
              <w:spacing w:line="288" w:lineRule="auto"/>
            </w:pPr>
            <w:r/>
            <w:r>
              <w:rPr>
                <w:rFonts w:ascii="Times New Roman" w:hAnsi="Times New Roman" w:eastAsia="SimSun"/>
                <w:b w:val="0"/>
                <w:sz w:val="21"/>
              </w:rPr>
              <w:t>出资凭证缺失；缴款流水的主体、金额与认缴记录不能对应</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6、【LP轨】份额登记记录</w:t>
            </w:r>
          </w:p>
        </w:tc>
        <w:tc>
          <w:tcPr>
            <w:tcW w:type="dxa" w:w="2340"/>
          </w:tcPr>
          <w:p>
            <w:pPr>
              <w:spacing w:line="288" w:lineRule="auto"/>
            </w:pPr>
            <w:r/>
            <w:r>
              <w:rPr>
                <w:rFonts w:ascii="Times New Roman" w:hAnsi="Times New Roman" w:eastAsia="SimSun"/>
                <w:b w:val="0"/>
                <w:sz w:val="21"/>
              </w:rPr>
              <w:t>合伙人名册、工商备案信息、协会备案信息</w:t>
            </w:r>
          </w:p>
        </w:tc>
        <w:tc>
          <w:tcPr>
            <w:tcW w:type="dxa" w:w="2340"/>
          </w:tcPr>
          <w:p>
            <w:pPr>
              <w:spacing w:line="288" w:lineRule="auto"/>
            </w:pPr>
            <w:r/>
            <w:r>
              <w:rPr>
                <w:rFonts w:ascii="Times New Roman" w:hAnsi="Times New Roman" w:eastAsia="SimSun"/>
                <w:b w:val="0"/>
                <w:sz w:val="21"/>
              </w:rPr>
              <w:t>各登记渠道记载的认缴出资额、实缴出资额、出资比例相互矛盾</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7、【LP轨】有无未履行的缴款违约</w:t>
            </w:r>
          </w:p>
        </w:tc>
        <w:tc>
          <w:tcPr>
            <w:tcW w:type="dxa" w:w="2340"/>
          </w:tcPr>
          <w:p>
            <w:pPr>
              <w:spacing w:line="288" w:lineRule="auto"/>
            </w:pPr>
            <w:r/>
            <w:r>
              <w:rPr>
                <w:rFonts w:ascii="Times New Roman" w:hAnsi="Times New Roman" w:eastAsia="SimSun"/>
                <w:b w:val="0"/>
                <w:sz w:val="21"/>
              </w:rPr>
              <w:t>缴款通知、催缴函、违约处理决议</w:t>
            </w:r>
          </w:p>
        </w:tc>
        <w:tc>
          <w:tcPr>
            <w:tcW w:type="dxa" w:w="2340"/>
          </w:tcPr>
          <w:p>
            <w:pPr>
              <w:spacing w:line="288" w:lineRule="auto"/>
            </w:pPr>
            <w:r/>
            <w:r>
              <w:rPr>
                <w:rFonts w:ascii="Times New Roman" w:hAnsi="Times New Roman" w:eastAsia="SimSun"/>
                <w:b w:val="0"/>
                <w:sz w:val="21"/>
              </w:rPr>
              <w:t>【转让方】存在未处理完毕的缴款违约（相应违约责任是否随份额转移须在转让协议中明确约定，否则易生争议）</w:t>
            </w:r>
          </w:p>
        </w:tc>
        <w:tc>
          <w:tcPr>
            <w:tcW w:type="dxa" w:w="2340"/>
          </w:tcPr>
          <w:p>
            <w:pPr>
              <w:spacing w:line="288" w:lineRule="auto"/>
            </w:pPr>
            <w:r/>
            <w:r>
              <w:rPr>
                <w:rFonts w:ascii="Times New Roman" w:hAnsi="Times New Roman" w:eastAsia="SimSun"/>
                <w:b w:val="0"/>
                <w:sz w:val="21"/>
              </w:rPr>
              <w:t>□无异常　□发现问题　□无法核实</w:t>
            </w:r>
          </w:p>
        </w:tc>
      </w:tr>
    </w:tbl>
    <w:p>
      <w:pPr>
        <w:spacing w:line="341" w:lineRule="auto" w:before="200" w:after="120"/>
      </w:pPr>
      <w:r>
        <w:rPr>
          <w:rFonts w:ascii="Times New Roman" w:hAnsi="Times New Roman" w:eastAsia="SimHei"/>
          <w:b/>
          <w:sz w:val="28"/>
        </w:rPr>
        <w:t>第四部分　管理人与治理层面核查</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核查项</w:t>
            </w:r>
          </w:p>
        </w:tc>
        <w:tc>
          <w:tcPr>
            <w:tcW w:type="dxa" w:w="2340"/>
          </w:tcPr>
          <w:p>
            <w:pPr>
              <w:spacing w:line="288" w:lineRule="auto"/>
            </w:pPr>
            <w:r/>
            <w:r>
              <w:rPr>
                <w:rFonts w:ascii="Times New Roman" w:hAnsi="Times New Roman" w:eastAsia="SimHei"/>
                <w:b/>
                <w:sz w:val="21"/>
              </w:rPr>
              <w:t>资料来源</w:t>
            </w:r>
          </w:p>
        </w:tc>
        <w:tc>
          <w:tcPr>
            <w:tcW w:type="dxa" w:w="2340"/>
          </w:tcPr>
          <w:p>
            <w:pPr>
              <w:spacing w:line="288" w:lineRule="auto"/>
            </w:pPr>
            <w:r/>
            <w:r>
              <w:rPr>
                <w:rFonts w:ascii="Times New Roman" w:hAnsi="Times New Roman" w:eastAsia="SimHei"/>
                <w:b/>
                <w:sz w:val="21"/>
              </w:rPr>
              <w:t>风险信号</w:t>
            </w:r>
          </w:p>
        </w:tc>
        <w:tc>
          <w:tcPr>
            <w:tcW w:type="dxa" w:w="2340"/>
          </w:tcPr>
          <w:p>
            <w:pPr>
              <w:spacing w:line="288" w:lineRule="auto"/>
            </w:pPr>
            <w:r/>
            <w:r>
              <w:rPr>
                <w:rFonts w:ascii="Times New Roman" w:hAnsi="Times New Roman" w:eastAsia="SimHei"/>
                <w:b/>
                <w:sz w:val="21"/>
              </w:rPr>
              <w:t>核查结果</w:t>
            </w:r>
          </w:p>
        </w:tc>
      </w:tr>
      <w:tr>
        <w:tc>
          <w:tcPr>
            <w:tcW w:type="dxa" w:w="2340"/>
          </w:tcPr>
          <w:p>
            <w:pPr>
              <w:spacing w:line="288" w:lineRule="auto"/>
            </w:pPr>
            <w:r/>
            <w:r>
              <w:rPr>
                <w:rFonts w:ascii="Times New Roman" w:hAnsi="Times New Roman" w:eastAsia="SimSun"/>
                <w:b w:val="0"/>
                <w:sz w:val="21"/>
              </w:rPr>
              <w:t>1、管理人登记信息与重大事项变更记录</w:t>
            </w:r>
          </w:p>
        </w:tc>
        <w:tc>
          <w:tcPr>
            <w:tcW w:type="dxa" w:w="2340"/>
          </w:tcPr>
          <w:p>
            <w:pPr>
              <w:spacing w:line="288" w:lineRule="auto"/>
            </w:pPr>
            <w:r/>
            <w:r>
              <w:rPr>
                <w:rFonts w:ascii="Times New Roman" w:hAnsi="Times New Roman" w:eastAsia="SimSun"/>
                <w:b w:val="0"/>
                <w:sz w:val="21"/>
              </w:rPr>
              <w:t>协会公示信息、管理人书面说明、历次变更记录</w:t>
            </w:r>
          </w:p>
        </w:tc>
        <w:tc>
          <w:tcPr>
            <w:tcW w:type="dxa" w:w="2340"/>
          </w:tcPr>
          <w:p>
            <w:pPr>
              <w:spacing w:line="288" w:lineRule="auto"/>
            </w:pPr>
            <w:r/>
            <w:r>
              <w:rPr>
                <w:rFonts w:ascii="Times New Roman" w:hAnsi="Times New Roman" w:eastAsia="SimSun"/>
                <w:b w:val="0"/>
                <w:sz w:val="21"/>
              </w:rPr>
              <w:t>管理人登记信息与实际情况不符，且未按《私募投资基金登记备案办法》第四十七条自变更之日起10个工作日内履行变更手续</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2、关键人士条款是否因本次转让触发</w:t>
            </w:r>
          </w:p>
        </w:tc>
        <w:tc>
          <w:tcPr>
            <w:tcW w:type="dxa" w:w="2340"/>
          </w:tcPr>
          <w:p>
            <w:pPr>
              <w:spacing w:line="288" w:lineRule="auto"/>
            </w:pPr>
            <w:r/>
            <w:r>
              <w:rPr>
                <w:rFonts w:ascii="Times New Roman" w:hAnsi="Times New Roman" w:eastAsia="SimSun"/>
                <w:b w:val="0"/>
                <w:sz w:val="21"/>
              </w:rPr>
              <w:t>合伙协议及基金合同中的关键人士条款</w:t>
            </w:r>
          </w:p>
        </w:tc>
        <w:tc>
          <w:tcPr>
            <w:tcW w:type="dxa" w:w="2340"/>
          </w:tcPr>
          <w:p>
            <w:pPr>
              <w:spacing w:line="288" w:lineRule="auto"/>
            </w:pPr>
            <w:r/>
            <w:r>
              <w:rPr>
                <w:rFonts w:ascii="Times New Roman" w:hAnsi="Times New Roman" w:eastAsia="SimSun"/>
                <w:b w:val="0"/>
                <w:sz w:val="21"/>
              </w:rPr>
              <w:t>本次转让将导致关键人士变动，触发投资期中止、投资者特别退出权或者其他约定后果而未作安排</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3、投资决策委员会构成</w:t>
            </w:r>
          </w:p>
        </w:tc>
        <w:tc>
          <w:tcPr>
            <w:tcW w:type="dxa" w:w="2340"/>
          </w:tcPr>
          <w:p>
            <w:pPr>
              <w:spacing w:line="288" w:lineRule="auto"/>
            </w:pPr>
            <w:r/>
            <w:r>
              <w:rPr>
                <w:rFonts w:ascii="Times New Roman" w:hAnsi="Times New Roman" w:eastAsia="SimSun"/>
                <w:b w:val="0"/>
                <w:sz w:val="21"/>
              </w:rPr>
              <w:t>合伙协议、投资决策委员会议事规则、现任委员名单</w:t>
            </w:r>
          </w:p>
        </w:tc>
        <w:tc>
          <w:tcPr>
            <w:tcW w:type="dxa" w:w="2340"/>
          </w:tcPr>
          <w:p>
            <w:pPr>
              <w:spacing w:line="288" w:lineRule="auto"/>
            </w:pPr>
            <w:r/>
            <w:r>
              <w:rPr>
                <w:rFonts w:ascii="Times New Roman" w:hAnsi="Times New Roman" w:eastAsia="SimSun"/>
                <w:b w:val="0"/>
                <w:sz w:val="21"/>
              </w:rPr>
              <w:t>本次转让将改变投资决策委员会构成而未履行约定的变更程序；决策机制因本次转让陷入僵局的风险</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4、管理费与业绩报酬安排及已计提情况</w:t>
            </w:r>
          </w:p>
        </w:tc>
        <w:tc>
          <w:tcPr>
            <w:tcW w:type="dxa" w:w="2340"/>
          </w:tcPr>
          <w:p>
            <w:pPr>
              <w:spacing w:line="288" w:lineRule="auto"/>
            </w:pPr>
            <w:r/>
            <w:r>
              <w:rPr>
                <w:rFonts w:ascii="Times New Roman" w:hAnsi="Times New Roman" w:eastAsia="SimSun"/>
                <w:b w:val="0"/>
                <w:sz w:val="21"/>
              </w:rPr>
              <w:t>合伙协议与基金合同的报酬条款、财务报表、托管对账资料</w:t>
            </w:r>
          </w:p>
        </w:tc>
        <w:tc>
          <w:tcPr>
            <w:tcW w:type="dxa" w:w="2340"/>
          </w:tcPr>
          <w:p>
            <w:pPr>
              <w:spacing w:line="288" w:lineRule="auto"/>
            </w:pPr>
            <w:r/>
            <w:r>
              <w:rPr>
                <w:rFonts w:ascii="Times New Roman" w:hAnsi="Times New Roman" w:eastAsia="SimSun"/>
                <w:b w:val="0"/>
                <w:sz w:val="21"/>
              </w:rPr>
              <w:t>已计提未支付的管理费或者业绩报酬未在转让定价中反映；实际计提与合同约定的计算口径不一致</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5、正在进行的管理人或者普通合伙人变更</w:t>
            </w:r>
          </w:p>
        </w:tc>
        <w:tc>
          <w:tcPr>
            <w:tcW w:type="dxa" w:w="2340"/>
          </w:tcPr>
          <w:p>
            <w:pPr>
              <w:spacing w:line="288" w:lineRule="auto"/>
            </w:pPr>
            <w:r/>
            <w:r>
              <w:rPr>
                <w:rFonts w:ascii="Times New Roman" w:hAnsi="Times New Roman" w:eastAsia="SimSun"/>
                <w:b w:val="0"/>
                <w:sz w:val="21"/>
              </w:rPr>
              <w:t>管理人书面说明、协会公示信息、最新风险揭示书</w:t>
            </w:r>
          </w:p>
        </w:tc>
        <w:tc>
          <w:tcPr>
            <w:tcW w:type="dxa" w:w="2340"/>
          </w:tcPr>
          <w:p>
            <w:pPr>
              <w:spacing w:line="288" w:lineRule="auto"/>
            </w:pPr>
            <w:r/>
            <w:r>
              <w:rPr>
                <w:rFonts w:ascii="Times New Roman" w:hAnsi="Times New Roman" w:eastAsia="SimSun"/>
                <w:b w:val="0"/>
                <w:sz w:val="21"/>
              </w:rPr>
              <w:t>管理人的控股股东、实际控制人、普通合伙人发生变更尚未在协会完成变更手续（属于《私募投资基金登记备案办法》第二十八条第二款第（八）项应当通过风险揭示书向投资者特别提示的情形）而未向【受让方】揭示</w:t>
            </w:r>
          </w:p>
        </w:tc>
        <w:tc>
          <w:tcPr>
            <w:tcW w:type="dxa" w:w="2340"/>
          </w:tcPr>
          <w:p>
            <w:pPr>
              <w:spacing w:line="288" w:lineRule="auto"/>
            </w:pPr>
            <w:r/>
            <w:r>
              <w:rPr>
                <w:rFonts w:ascii="Times New Roman" w:hAnsi="Times New Roman" w:eastAsia="SimSun"/>
                <w:b w:val="0"/>
                <w:sz w:val="21"/>
              </w:rPr>
              <w:t>□无异常　□发现问题　□无法核实</w:t>
            </w:r>
          </w:p>
        </w:tc>
      </w:tr>
    </w:tbl>
    <w:p>
      <w:pPr>
        <w:spacing w:line="341" w:lineRule="auto" w:before="200" w:after="120"/>
      </w:pPr>
      <w:r>
        <w:rPr>
          <w:rFonts w:ascii="Times New Roman" w:hAnsi="Times New Roman" w:eastAsia="SimHei"/>
          <w:b/>
          <w:sz w:val="28"/>
        </w:rPr>
        <w:t>第五部分　受让方自查</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核查项</w:t>
            </w:r>
          </w:p>
        </w:tc>
        <w:tc>
          <w:tcPr>
            <w:tcW w:type="dxa" w:w="2340"/>
          </w:tcPr>
          <w:p>
            <w:pPr>
              <w:spacing w:line="288" w:lineRule="auto"/>
            </w:pPr>
            <w:r/>
            <w:r>
              <w:rPr>
                <w:rFonts w:ascii="Times New Roman" w:hAnsi="Times New Roman" w:eastAsia="SimHei"/>
                <w:b/>
                <w:sz w:val="21"/>
              </w:rPr>
              <w:t>资料来源</w:t>
            </w:r>
          </w:p>
        </w:tc>
        <w:tc>
          <w:tcPr>
            <w:tcW w:type="dxa" w:w="2340"/>
          </w:tcPr>
          <w:p>
            <w:pPr>
              <w:spacing w:line="288" w:lineRule="auto"/>
            </w:pPr>
            <w:r/>
            <w:r>
              <w:rPr>
                <w:rFonts w:ascii="Times New Roman" w:hAnsi="Times New Roman" w:eastAsia="SimHei"/>
                <w:b/>
                <w:sz w:val="21"/>
              </w:rPr>
              <w:t>风险信号</w:t>
            </w:r>
          </w:p>
        </w:tc>
        <w:tc>
          <w:tcPr>
            <w:tcW w:type="dxa" w:w="2340"/>
          </w:tcPr>
          <w:p>
            <w:pPr>
              <w:spacing w:line="288" w:lineRule="auto"/>
            </w:pPr>
            <w:r/>
            <w:r>
              <w:rPr>
                <w:rFonts w:ascii="Times New Roman" w:hAnsi="Times New Roman" w:eastAsia="SimHei"/>
                <w:b/>
                <w:sz w:val="21"/>
              </w:rPr>
              <w:t>核查结果</w:t>
            </w:r>
          </w:p>
        </w:tc>
      </w:tr>
      <w:tr>
        <w:tc>
          <w:tcPr>
            <w:tcW w:type="dxa" w:w="2340"/>
          </w:tcPr>
          <w:p>
            <w:pPr>
              <w:spacing w:line="288" w:lineRule="auto"/>
            </w:pPr>
            <w:r/>
            <w:r>
              <w:rPr>
                <w:rFonts w:ascii="Times New Roman" w:hAnsi="Times New Roman" w:eastAsia="SimSun"/>
                <w:b w:val="0"/>
                <w:sz w:val="21"/>
              </w:rPr>
              <w:t>1、合格投资者标准</w:t>
            </w:r>
          </w:p>
        </w:tc>
        <w:tc>
          <w:tcPr>
            <w:tcW w:type="dxa" w:w="2340"/>
          </w:tcPr>
          <w:p>
            <w:pPr>
              <w:spacing w:line="288" w:lineRule="auto"/>
            </w:pPr>
            <w:r/>
            <w:r>
              <w:rPr>
                <w:rFonts w:ascii="Times New Roman" w:hAnsi="Times New Roman" w:eastAsia="SimSun"/>
                <w:b w:val="0"/>
                <w:sz w:val="21"/>
              </w:rPr>
              <w:t>【受让方】资产证明、收入证明、金融资产证明、风险识别能力与风险承担能力材料</w:t>
            </w:r>
          </w:p>
        </w:tc>
        <w:tc>
          <w:tcPr>
            <w:tcW w:type="dxa" w:w="2340"/>
          </w:tcPr>
          <w:p>
            <w:pPr>
              <w:spacing w:line="288" w:lineRule="auto"/>
            </w:pPr>
            <w:r/>
            <w:r>
              <w:rPr>
                <w:rFonts w:ascii="Times New Roman" w:hAnsi="Times New Roman" w:eastAsia="SimSun"/>
                <w:b w:val="0"/>
                <w:sz w:val="21"/>
              </w:rPr>
              <w:t>【受让方】不符合合格投资者标准；本次交易存在通过拆分份额或者收益权降低合格投资者标准的安排（《私募投资基金监督管理条例》第十八条）</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2、【GP轨】禁入情形自查</w:t>
            </w:r>
          </w:p>
        </w:tc>
        <w:tc>
          <w:tcPr>
            <w:tcW w:type="dxa" w:w="2340"/>
          </w:tcPr>
          <w:p>
            <w:pPr>
              <w:spacing w:line="288" w:lineRule="auto"/>
            </w:pPr>
            <w:r/>
            <w:r>
              <w:rPr>
                <w:rFonts w:ascii="Times New Roman" w:hAnsi="Times New Roman" w:eastAsia="SimSun"/>
                <w:b w:val="0"/>
                <w:sz w:val="21"/>
              </w:rPr>
              <w:t>【受让方】及其控股股东、实际控制人、董事、监事、高级管理人员出具的书面声明及公开信息检索记录</w:t>
            </w:r>
          </w:p>
        </w:tc>
        <w:tc>
          <w:tcPr>
            <w:tcW w:type="dxa" w:w="2340"/>
          </w:tcPr>
          <w:p>
            <w:pPr>
              <w:spacing w:line="288" w:lineRule="auto"/>
            </w:pPr>
            <w:r/>
            <w:r>
              <w:rPr>
                <w:rFonts w:ascii="Times New Roman" w:hAnsi="Times New Roman" w:eastAsia="SimSun"/>
                <w:b w:val="0"/>
                <w:sz w:val="21"/>
              </w:rPr>
              <w:t>存在《私募投资基金监督管理条例》第八条、第九条规定的情形（将阻断【受让方】担任普通合伙人以及后续管理人相关登记变更）</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3、资金来源合法性</w:t>
            </w:r>
          </w:p>
        </w:tc>
        <w:tc>
          <w:tcPr>
            <w:tcW w:type="dxa" w:w="2340"/>
          </w:tcPr>
          <w:p>
            <w:pPr>
              <w:spacing w:line="288" w:lineRule="auto"/>
            </w:pPr>
            <w:r/>
            <w:r>
              <w:rPr>
                <w:rFonts w:ascii="Times New Roman" w:hAnsi="Times New Roman" w:eastAsia="SimSun"/>
                <w:b w:val="0"/>
                <w:sz w:val="21"/>
              </w:rPr>
              <w:t>受让资金来源说明、银行流水、财务报表或者审计报告</w:t>
            </w:r>
          </w:p>
        </w:tc>
        <w:tc>
          <w:tcPr>
            <w:tcW w:type="dxa" w:w="2340"/>
          </w:tcPr>
          <w:p>
            <w:pPr>
              <w:spacing w:line="288" w:lineRule="auto"/>
            </w:pPr>
            <w:r/>
            <w:r>
              <w:rPr>
                <w:rFonts w:ascii="Times New Roman" w:hAnsi="Times New Roman" w:eastAsia="SimSun"/>
                <w:b w:val="0"/>
                <w:sz w:val="21"/>
              </w:rPr>
              <w:t>受让资金来源于违规募集资金、被挪用资金，或者无法说明合法来源</w:t>
            </w:r>
          </w:p>
        </w:tc>
        <w:tc>
          <w:tcPr>
            <w:tcW w:type="dxa" w:w="2340"/>
          </w:tcPr>
          <w:p>
            <w:pPr>
              <w:spacing w:line="288" w:lineRule="auto"/>
            </w:pPr>
            <w:r/>
            <w:r>
              <w:rPr>
                <w:rFonts w:ascii="Times New Roman" w:hAnsi="Times New Roman" w:eastAsia="SimSun"/>
                <w:b w:val="0"/>
                <w:sz w:val="21"/>
              </w:rPr>
              <w:t>□无异常　□发现问题　□无法核实</w:t>
            </w:r>
          </w:p>
        </w:tc>
      </w:tr>
      <w:tr>
        <w:tc>
          <w:tcPr>
            <w:tcW w:type="dxa" w:w="2340"/>
          </w:tcPr>
          <w:p>
            <w:pPr>
              <w:spacing w:line="288" w:lineRule="auto"/>
            </w:pPr>
            <w:r/>
            <w:r>
              <w:rPr>
                <w:rFonts w:ascii="Times New Roman" w:hAnsi="Times New Roman" w:eastAsia="SimSun"/>
                <w:b w:val="0"/>
                <w:sz w:val="21"/>
              </w:rPr>
              <w:t>4、国资、外资身份触发的额外程序</w:t>
            </w:r>
          </w:p>
        </w:tc>
        <w:tc>
          <w:tcPr>
            <w:tcW w:type="dxa" w:w="2340"/>
          </w:tcPr>
          <w:p>
            <w:pPr>
              <w:spacing w:line="288" w:lineRule="auto"/>
            </w:pPr>
            <w:r/>
            <w:r>
              <w:rPr>
                <w:rFonts w:ascii="Times New Roman" w:hAnsi="Times New Roman" w:eastAsia="SimSun"/>
                <w:b w:val="0"/>
                <w:sz w:val="21"/>
              </w:rPr>
              <w:t>【受让方】与【转让方】股权结构图、国有资产监督管理身份文件、外商投资主体身份文件、内部审批文件</w:t>
            </w:r>
          </w:p>
        </w:tc>
        <w:tc>
          <w:tcPr>
            <w:tcW w:type="dxa" w:w="2340"/>
          </w:tcPr>
          <w:p>
            <w:pPr>
              <w:spacing w:line="288" w:lineRule="auto"/>
            </w:pPr>
            <w:r/>
            <w:r>
              <w:rPr>
                <w:rFonts w:ascii="Times New Roman" w:hAnsi="Times New Roman" w:eastAsia="SimSun"/>
                <w:b w:val="0"/>
                <w:sz w:val="21"/>
              </w:rPr>
              <w:t>【转让方】属于国有主体的，未评估《企业国有资产交易监督管理办法》项下进场交易要求（第十三条：产权转让原则上通过产权市场公开进行，正式披露信息时间不得少于20个工作日；符合第三十一条规定情形的方可采取非公开协议转让方式）；【受让方】属于外商投资主体的，未评估外商投资准入及信息报告程序；国有【受让方】未取得其内部有权机构批准</w:t>
            </w:r>
          </w:p>
        </w:tc>
        <w:tc>
          <w:tcPr>
            <w:tcW w:type="dxa" w:w="2340"/>
          </w:tcPr>
          <w:p>
            <w:pPr>
              <w:spacing w:line="288" w:lineRule="auto"/>
            </w:pPr>
            <w:r/>
            <w:r>
              <w:rPr>
                <w:rFonts w:ascii="Times New Roman" w:hAnsi="Times New Roman" w:eastAsia="SimSun"/>
                <w:b w:val="0"/>
                <w:sz w:val="21"/>
              </w:rPr>
              <w:t>□无异常　□发现问题　□无法核实</w:t>
            </w:r>
          </w:p>
        </w:tc>
      </w:tr>
    </w:tbl>
    <w:p>
      <w:pPr>
        <w:spacing w:line="300" w:lineRule="auto" w:after="60"/>
        <w:jc w:val="both"/>
      </w:pPr>
      <w:r>
        <w:rPr>
          <w:rFonts w:ascii="Times New Roman" w:hAnsi="Times New Roman" w:eastAsia="SimSun"/>
          <w:b w:val="0"/>
          <w:color w:val="7F7F7F"/>
          <w:sz w:val="21"/>
        </w:rPr>
        <w:t>【拟稿注：合伙型基金的基金资产由普通合伙人管理的，普通合伙人适用关于私募基金管理人的规定（《私募投资基金监督管理条例》第七条）。因此GP轨【受让方】的自查不止于合格投资者标准，还应当按照管理人标准对照该条例第八条、第九条情形逐项自查，并预先评估受让后办理管理人相关变更登记手续的可行性；该项评估结论直接影响交易结构与时间表设计。】</w:t>
      </w:r>
    </w:p>
    <w:p>
      <w:pPr>
        <w:spacing w:line="341" w:lineRule="auto" w:before="200" w:after="120"/>
      </w:pPr>
      <w:r>
        <w:rPr>
          <w:rFonts w:ascii="Times New Roman" w:hAnsi="Times New Roman" w:eastAsia="SimHei"/>
          <w:b/>
          <w:sz w:val="28"/>
        </w:rPr>
        <w:t>第六部分　重大发现的处理建议</w:t>
      </w:r>
    </w:p>
    <w:p>
      <w:pPr>
        <w:spacing w:line="319" w:lineRule="auto" w:after="40"/>
        <w:jc w:val="both"/>
      </w:pPr>
      <w:r>
        <w:rPr>
          <w:rFonts w:ascii="Times New Roman" w:hAnsi="Times New Roman" w:eastAsia="SimSun"/>
          <w:b w:val="0"/>
          <w:sz w:val="24"/>
        </w:rPr>
        <w:t>核查发现的重大问题不应止步于记录，应当按照其性质分别进入交易文件：</w:t>
      </w:r>
    </w:p>
    <w:p>
      <w:pPr>
        <w:spacing w:line="319" w:lineRule="auto" w:after="40"/>
        <w:jc w:val="both"/>
      </w:pPr>
      <w:r>
        <w:rPr>
          <w:rFonts w:ascii="Times New Roman" w:hAnsi="Times New Roman" w:eastAsia="SimSun"/>
          <w:b w:val="0"/>
          <w:sz w:val="24"/>
        </w:rPr>
        <w:t>（一）可以量化的既存负债、已计提未付款项、未实缴出资等事项，作为转让价款的调整因素写入份额转让协议（本包01号或者02号文件）的价款条款，并载明计算依据；</w:t>
      </w:r>
    </w:p>
    <w:p>
      <w:pPr>
        <w:spacing w:line="319" w:lineRule="auto" w:after="40"/>
        <w:jc w:val="both"/>
      </w:pPr>
      <w:r>
        <w:rPr>
          <w:rFonts w:ascii="Times New Roman" w:hAnsi="Times New Roman" w:eastAsia="SimSun"/>
          <w:b w:val="0"/>
          <w:sz w:val="24"/>
        </w:rPr>
        <w:t>（二）可以在交割前消除的权利瑕疵，例如解除质押、取得同意文件、补正登记，作为交割先决条件写入转让协议，先决条件未成就不进行交割；</w:t>
      </w:r>
    </w:p>
    <w:p>
      <w:pPr>
        <w:spacing w:line="319" w:lineRule="auto" w:after="40"/>
        <w:jc w:val="both"/>
      </w:pPr>
      <w:r>
        <w:rPr>
          <w:rFonts w:ascii="Times New Roman" w:hAnsi="Times New Roman" w:eastAsia="SimSun"/>
          <w:b w:val="0"/>
          <w:sz w:val="24"/>
        </w:rPr>
        <w:t>（三）无法在交割前消除亦难以准确量化的或有风险，例如未决诉讼、对外担保、回购与差额补足义务、GP轨入伙前债务敞口，作为专项补偿条款写入转让协议，明确触发情形、补偿范围、补偿期限与责任上限，并考虑以价款留存、第三方担保或者分期支付作为履约保障；</w:t>
      </w:r>
    </w:p>
    <w:p>
      <w:pPr>
        <w:spacing w:line="319" w:lineRule="auto" w:after="40"/>
        <w:jc w:val="both"/>
      </w:pPr>
      <w:r>
        <w:rPr>
          <w:rFonts w:ascii="Times New Roman" w:hAnsi="Times New Roman" w:eastAsia="SimSun"/>
          <w:b w:val="0"/>
          <w:sz w:val="24"/>
        </w:rPr>
        <w:t>（四）动摇交易基础的重大问题，例如份额权属存在根本争议、基金已实质停摆，应当重新评估交易可行性，不宜通过条款安排勉强推进。</w:t>
      </w:r>
    </w:p>
    <w:p>
      <w:pPr>
        <w:spacing w:line="300" w:lineRule="auto" w:after="60"/>
        <w:jc w:val="both"/>
      </w:pPr>
      <w:r>
        <w:rPr>
          <w:rFonts w:ascii="Times New Roman" w:hAnsi="Times New Roman" w:eastAsia="SimSun"/>
          <w:b w:val="0"/>
          <w:color w:val="7F7F7F"/>
          <w:sz w:val="21"/>
        </w:rPr>
        <w:t>【拟稿注：GP轨下【受让方】对入伙前【基金】债务的无限连带责任是法定对外责任（《合伙企业法》第四十四条），转让协议中的价款调整与补偿安排仅在【转让方】与【受让方】内部有效，不能对抗【基金】的债权人。补偿条款的实际价值取决于【转让方】的资信状况：对资信存疑的【转让方】，应当优先采用价款留存与分期支付，而非单纯依赖事后补偿请求权。】</w:t>
      </w:r>
    </w:p>
    <w:p>
      <w:pPr>
        <w:spacing w:line="319" w:lineRule="auto" w:after="40"/>
        <w:jc w:val="both"/>
      </w:pPr>
      <w:r>
        <w:rPr>
          <w:rFonts w:ascii="Times New Roman" w:hAnsi="Times New Roman" w:eastAsia="SimSun"/>
          <w:b w:val="0"/>
          <w:sz w:val="24"/>
        </w:rPr>
        <w:t>核查人：</w:t>
      </w:r>
    </w:p>
    <w:p>
      <w:pPr>
        <w:spacing w:line="319" w:lineRule="auto" w:after="40"/>
        <w:jc w:val="both"/>
      </w:pPr>
      <w:r>
        <w:rPr>
          <w:rFonts w:ascii="Times New Roman" w:hAnsi="Times New Roman" w:eastAsia="SimSun"/>
          <w:b w:val="0"/>
          <w:sz w:val="24"/>
        </w:rPr>
        <w:t>复核人：</w:t>
      </w:r>
    </w:p>
    <w:p>
      <w:pPr>
        <w:spacing w:line="319" w:lineRule="auto" w:after="40"/>
        <w:jc w:val="both"/>
      </w:pPr>
      <w:r>
        <w:rPr>
          <w:rFonts w:ascii="Times New Roman" w:hAnsi="Times New Roman" w:eastAsia="SimSun"/>
          <w:b w:val="0"/>
          <w:sz w:val="24"/>
        </w:rPr>
        <w:t>核查基准日：【●】年【●】月【●】日</w:t>
      </w:r>
    </w:p>
    <w:p>
      <w:pPr>
        <w:spacing w:line="319" w:lineRule="auto" w:after="40"/>
        <w:jc w:val="both"/>
      </w:pPr>
      <w:r>
        <w:rPr>
          <w:rFonts w:ascii="Times New Roman" w:hAnsi="Times New Roman" w:eastAsia="SimSun"/>
          <w:b w:val="0"/>
          <w:sz w:val="24"/>
        </w:rPr>
        <w:t>清单完成日期：【●】年【●】月【●】日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09_基金份额受让尽职调查清单</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