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360" w:lineRule="auto" w:after="240"/>
        <w:jc w:val="center"/>
      </w:pPr>
      <w:r>
        <w:rPr>
          <w:rFonts w:ascii="Times New Roman" w:hAnsi="Times New Roman" w:eastAsia="SimHei"/>
          <w:b/>
          <w:sz w:val="36"/>
        </w:rPr>
        <w:t>受让方合格投资者确认与风险揭示函</w:t>
      </w:r>
    </w:p>
    <w:p>
      <w:pPr>
        <w:spacing w:line="360" w:lineRule="auto" w:after="200"/>
        <w:jc w:val="center"/>
      </w:pPr>
      <w:r>
        <w:rPr>
          <w:rFonts w:ascii="Times New Roman" w:hAnsi="Times New Roman" w:eastAsia="SimSun"/>
          <w:b w:val="0"/>
          <w:sz w:val="28"/>
        </w:rPr>
        <w:t>（示范文本）</w:t>
      </w:r>
    </w:p>
    <w:p>
      <w:pPr>
        <w:spacing w:line="300" w:lineRule="auto" w:after="60"/>
        <w:jc w:val="both"/>
      </w:pPr>
      <w:r>
        <w:rPr>
          <w:rFonts w:ascii="Times New Roman" w:hAnsi="Times New Roman" w:eastAsia="SimSun"/>
          <w:b w:val="0"/>
          <w:color w:val="7F7F7F"/>
          <w:sz w:val="21"/>
        </w:rPr>
        <w:t>【拟稿注：本函适用于合伙型私募基金存量份额转让中对【受让方】履行合格投资者确认与风险揭示程序，系本包01号（GP轨）、02号（LP轨）份额转让协议项下的先决条件文件。本函由【受让方】单方声明并签署，管理人在文末确认栏出具适当性匹配意见。受让流程建议参照募集程序留存适当性材料（风险测评问卷、资产证明或收入证明、匹配意见、本函签署件等），由管理人存档备查；冷静期与回访安排如合伙协议或管理人内部制度有要求的，一并执行。本函以【原管理人】指称【基金】现任私募基金管理人；如本次份额转让与管理人变更同步办理且管理人变更已完成的，确认栏由【新管理人】签署。】</w:t>
      </w:r>
    </w:p>
    <w:p>
      <w:pPr>
        <w:spacing w:line="319" w:lineRule="auto" w:after="40"/>
        <w:jc w:val="both"/>
      </w:pPr>
      <w:r>
        <w:rPr>
          <w:rFonts w:ascii="Times New Roman" w:hAnsi="Times New Roman" w:eastAsia="SimSun"/>
          <w:b w:val="0"/>
          <w:sz w:val="24"/>
        </w:rPr>
        <w:t>致：【原管理人】（作为【基金】的私募基金管理人）</w:t>
      </w:r>
    </w:p>
    <w:p>
      <w:pPr>
        <w:spacing w:line="319" w:lineRule="auto" w:after="40"/>
        <w:jc w:val="both"/>
      </w:pPr>
      <w:r>
        <w:rPr>
          <w:rFonts w:ascii="Times New Roman" w:hAnsi="Times New Roman" w:eastAsia="SimSun"/>
          <w:b w:val="0"/>
          <w:sz w:val="24"/>
        </w:rPr>
        <w:t>基金基本信息：</w:t>
      </w:r>
    </w:p>
    <w:tbl>
      <w:tblPr>
        <w:tblStyle w:val="TableGrid"/>
        <w:tblW w:type="auto" w:w="0"/>
        <w:tblLook w:firstColumn="1" w:firstRow="1" w:lastColumn="0" w:lastRow="0" w:noHBand="0" w:noVBand="1" w:val="04A0"/>
      </w:tblPr>
      <w:tblGrid>
        <w:gridCol w:w="4680"/>
        <w:gridCol w:w="4680"/>
      </w:tblGrid>
      <w:tr>
        <w:tc>
          <w:tcPr>
            <w:tcW w:type="dxa" w:w="4680"/>
          </w:tcPr>
          <w:p>
            <w:pPr>
              <w:spacing w:line="288" w:lineRule="auto"/>
            </w:pPr>
            <w:r/>
            <w:r>
              <w:rPr>
                <w:rFonts w:ascii="Times New Roman" w:hAnsi="Times New Roman" w:eastAsia="SimHei"/>
                <w:b/>
                <w:sz w:val="21"/>
              </w:rPr>
              <w:t>项目</w:t>
            </w:r>
          </w:p>
        </w:tc>
        <w:tc>
          <w:tcPr>
            <w:tcW w:type="dxa" w:w="4680"/>
          </w:tcPr>
          <w:p>
            <w:pPr>
              <w:spacing w:line="288" w:lineRule="auto"/>
            </w:pPr>
            <w:r/>
            <w:r>
              <w:rPr>
                <w:rFonts w:ascii="Times New Roman" w:hAnsi="Times New Roman" w:eastAsia="SimHei"/>
                <w:b/>
                <w:sz w:val="21"/>
              </w:rPr>
              <w:t>内容</w:t>
            </w:r>
          </w:p>
        </w:tc>
      </w:tr>
      <w:tr>
        <w:tc>
          <w:tcPr>
            <w:tcW w:type="dxa" w:w="4680"/>
          </w:tcPr>
          <w:p>
            <w:pPr>
              <w:spacing w:line="288" w:lineRule="auto"/>
            </w:pPr>
            <w:r/>
            <w:r>
              <w:rPr>
                <w:rFonts w:ascii="Times New Roman" w:hAnsi="Times New Roman" w:eastAsia="SimSun"/>
                <w:b w:val="0"/>
                <w:sz w:val="21"/>
              </w:rPr>
              <w:t>基金名称</w:t>
            </w:r>
          </w:p>
        </w:tc>
        <w:tc>
          <w:tcPr>
            <w:tcW w:type="dxa" w:w="4680"/>
          </w:tcPr>
          <w:p>
            <w:pPr>
              <w:spacing w:line="288" w:lineRule="auto"/>
            </w:pPr>
            <w:r/>
            <w:r>
              <w:rPr>
                <w:rFonts w:ascii="Times New Roman" w:hAnsi="Times New Roman" w:eastAsia="SimSun"/>
                <w:b w:val="0"/>
                <w:sz w:val="21"/>
              </w:rPr>
              <w:t>【基金】</w:t>
            </w:r>
          </w:p>
        </w:tc>
      </w:tr>
      <w:tr>
        <w:tc>
          <w:tcPr>
            <w:tcW w:type="dxa" w:w="4680"/>
          </w:tcPr>
          <w:p>
            <w:pPr>
              <w:spacing w:line="288" w:lineRule="auto"/>
            </w:pPr>
            <w:r/>
            <w:r>
              <w:rPr>
                <w:rFonts w:ascii="Times New Roman" w:hAnsi="Times New Roman" w:eastAsia="SimSun"/>
                <w:b w:val="0"/>
                <w:sz w:val="21"/>
              </w:rPr>
              <w:t>协会备案编码</w:t>
            </w:r>
          </w:p>
        </w:tc>
        <w:tc>
          <w:tcPr>
            <w:tcW w:type="dxa" w:w="4680"/>
          </w:tcPr>
          <w:p>
            <w:pPr>
              <w:spacing w:line="288" w:lineRule="auto"/>
            </w:pPr>
            <w:r/>
            <w:r>
              <w:rPr>
                <w:rFonts w:ascii="Times New Roman" w:hAnsi="Times New Roman" w:eastAsia="SimSun"/>
                <w:b w:val="0"/>
                <w:sz w:val="21"/>
              </w:rPr>
              <w:t>【●】</w:t>
            </w:r>
          </w:p>
        </w:tc>
      </w:tr>
      <w:tr>
        <w:tc>
          <w:tcPr>
            <w:tcW w:type="dxa" w:w="4680"/>
          </w:tcPr>
          <w:p>
            <w:pPr>
              <w:spacing w:line="288" w:lineRule="auto"/>
            </w:pPr>
            <w:r/>
            <w:r>
              <w:rPr>
                <w:rFonts w:ascii="Times New Roman" w:hAnsi="Times New Roman" w:eastAsia="SimSun"/>
                <w:b w:val="0"/>
                <w:sz w:val="21"/>
              </w:rPr>
              <w:t>私募基金管理人</w:t>
            </w:r>
          </w:p>
        </w:tc>
        <w:tc>
          <w:tcPr>
            <w:tcW w:type="dxa" w:w="4680"/>
          </w:tcPr>
          <w:p>
            <w:pPr>
              <w:spacing w:line="288" w:lineRule="auto"/>
            </w:pPr>
            <w:r/>
            <w:r>
              <w:rPr>
                <w:rFonts w:ascii="Times New Roman" w:hAnsi="Times New Roman" w:eastAsia="SimSun"/>
                <w:b w:val="0"/>
                <w:sz w:val="21"/>
              </w:rPr>
              <w:t>【原管理人】</w:t>
            </w:r>
          </w:p>
        </w:tc>
      </w:tr>
      <w:tr>
        <w:tc>
          <w:tcPr>
            <w:tcW w:type="dxa" w:w="4680"/>
          </w:tcPr>
          <w:p>
            <w:pPr>
              <w:spacing w:line="288" w:lineRule="auto"/>
            </w:pPr>
            <w:r/>
            <w:r>
              <w:rPr>
                <w:rFonts w:ascii="Times New Roman" w:hAnsi="Times New Roman" w:eastAsia="SimSun"/>
                <w:b w:val="0"/>
                <w:sz w:val="21"/>
              </w:rPr>
              <w:t>托管人（如有）</w:t>
            </w:r>
          </w:p>
        </w:tc>
        <w:tc>
          <w:tcPr>
            <w:tcW w:type="dxa" w:w="4680"/>
          </w:tcPr>
          <w:p>
            <w:pPr>
              <w:spacing w:line="288" w:lineRule="auto"/>
            </w:pPr>
            <w:r/>
            <w:r>
              <w:rPr>
                <w:rFonts w:ascii="Times New Roman" w:hAnsi="Times New Roman" w:eastAsia="SimSun"/>
                <w:b w:val="0"/>
                <w:sz w:val="21"/>
              </w:rPr>
              <w:t>【托管人】</w:t>
            </w:r>
          </w:p>
        </w:tc>
      </w:tr>
      <w:tr>
        <w:tc>
          <w:tcPr>
            <w:tcW w:type="dxa" w:w="4680"/>
          </w:tcPr>
          <w:p>
            <w:pPr>
              <w:spacing w:line="288" w:lineRule="auto"/>
            </w:pPr>
            <w:r/>
            <w:r>
              <w:rPr>
                <w:rFonts w:ascii="Times New Roman" w:hAnsi="Times New Roman" w:eastAsia="SimSun"/>
                <w:b w:val="0"/>
                <w:sz w:val="21"/>
              </w:rPr>
              <w:t>转让方</w:t>
            </w:r>
          </w:p>
        </w:tc>
        <w:tc>
          <w:tcPr>
            <w:tcW w:type="dxa" w:w="4680"/>
          </w:tcPr>
          <w:p>
            <w:pPr>
              <w:spacing w:line="288" w:lineRule="auto"/>
            </w:pPr>
            <w:r/>
            <w:r>
              <w:rPr>
                <w:rFonts w:ascii="Times New Roman" w:hAnsi="Times New Roman" w:eastAsia="SimSun"/>
                <w:b w:val="0"/>
                <w:sz w:val="21"/>
              </w:rPr>
              <w:t>【转让方】</w:t>
            </w:r>
          </w:p>
        </w:tc>
      </w:tr>
      <w:tr>
        <w:tc>
          <w:tcPr>
            <w:tcW w:type="dxa" w:w="4680"/>
          </w:tcPr>
          <w:p>
            <w:pPr>
              <w:spacing w:line="288" w:lineRule="auto"/>
            </w:pPr>
            <w:r/>
            <w:r>
              <w:rPr>
                <w:rFonts w:ascii="Times New Roman" w:hAnsi="Times New Roman" w:eastAsia="SimSun"/>
                <w:b w:val="0"/>
                <w:sz w:val="21"/>
              </w:rPr>
              <w:t>拟受让标的份额</w:t>
            </w:r>
          </w:p>
        </w:tc>
        <w:tc>
          <w:tcPr>
            <w:tcW w:type="dxa" w:w="4680"/>
          </w:tcPr>
          <w:p>
            <w:pPr>
              <w:spacing w:line="288" w:lineRule="auto"/>
            </w:pPr>
            <w:r/>
            <w:r>
              <w:rPr>
                <w:rFonts w:ascii="Times New Roman" w:hAnsi="Times New Roman" w:eastAsia="SimSun"/>
                <w:b w:val="0"/>
                <w:sz w:val="21"/>
              </w:rPr>
              <w:t>认缴出资额【●】元（其中实缴【●】元、未实缴【●】元）</w:t>
            </w:r>
          </w:p>
        </w:tc>
      </w:tr>
    </w:tbl>
    <w:p>
      <w:pPr>
        <w:spacing w:line="341" w:lineRule="auto" w:before="200" w:after="120"/>
      </w:pPr>
      <w:r>
        <w:rPr>
          <w:rFonts w:ascii="Times New Roman" w:hAnsi="Times New Roman" w:eastAsia="SimHei"/>
          <w:b/>
          <w:sz w:val="28"/>
        </w:rPr>
        <w:t>第一部分　合格投资者确认与承诺</w:t>
      </w:r>
    </w:p>
    <w:p>
      <w:pPr>
        <w:spacing w:line="319" w:lineRule="auto" w:after="40"/>
        <w:jc w:val="both"/>
      </w:pPr>
      <w:r>
        <w:rPr>
          <w:rFonts w:ascii="Times New Roman" w:hAnsi="Times New Roman" w:eastAsia="SimSun"/>
          <w:b w:val="0"/>
          <w:sz w:val="24"/>
        </w:rPr>
        <w:t>本单位/本人作为【基金】份额的拟受让方，特此声明并承诺如下：</w:t>
      </w:r>
    </w:p>
    <w:p>
      <w:pPr>
        <w:spacing w:line="319" w:lineRule="auto" w:after="40"/>
        <w:jc w:val="both"/>
      </w:pPr>
      <w:r>
        <w:rPr>
          <w:rFonts w:ascii="Times New Roman" w:hAnsi="Times New Roman" w:eastAsia="SimSun"/>
          <w:b w:val="0"/>
          <w:sz w:val="24"/>
        </w:rPr>
        <w:t>1、本单位/本人符合中国证监会规定的合格投资者标准（按适用情形勾选其一并填写）：</w:t>
      </w:r>
    </w:p>
    <w:p>
      <w:pPr>
        <w:spacing w:line="319" w:lineRule="auto" w:after="40"/>
        <w:jc w:val="both"/>
      </w:pPr>
      <w:r>
        <w:rPr>
          <w:rFonts w:ascii="Times New Roman" w:hAnsi="Times New Roman" w:eastAsia="SimSun"/>
          <w:b w:val="0"/>
          <w:sz w:val="24"/>
        </w:rPr>
        <w:t>□机构投资者：净资产不低于【●】万元；</w:t>
      </w:r>
    </w:p>
    <w:p>
      <w:pPr>
        <w:spacing w:line="319" w:lineRule="auto" w:after="40"/>
        <w:jc w:val="both"/>
      </w:pPr>
      <w:r>
        <w:rPr>
          <w:rFonts w:ascii="Times New Roman" w:hAnsi="Times New Roman" w:eastAsia="SimSun"/>
          <w:b w:val="0"/>
          <w:sz w:val="24"/>
        </w:rPr>
        <w:t>□个人投资者：金融资产不低于【●】万元，或者最近三年个人年均收入不低于【●】万元；</w:t>
      </w:r>
    </w:p>
    <w:p>
      <w:pPr>
        <w:spacing w:line="319" w:lineRule="auto" w:after="40"/>
        <w:jc w:val="both"/>
      </w:pPr>
      <w:r>
        <w:rPr>
          <w:rFonts w:ascii="Times New Roman" w:hAnsi="Times New Roman" w:eastAsia="SimSun"/>
          <w:b w:val="0"/>
          <w:sz w:val="24"/>
        </w:rPr>
        <w:t>□法律、行政法规及中国证监会规定的其他合格投资者情形：【●】。</w:t>
      </w:r>
    </w:p>
    <w:p>
      <w:pPr>
        <w:spacing w:line="300" w:lineRule="auto" w:after="60"/>
        <w:jc w:val="both"/>
      </w:pPr>
      <w:r>
        <w:rPr>
          <w:rFonts w:ascii="Times New Roman" w:hAnsi="Times New Roman" w:eastAsia="SimSun"/>
          <w:b w:val="0"/>
          <w:color w:val="7F7F7F"/>
          <w:sz w:val="21"/>
        </w:rPr>
        <w:t>【拟稿注：合格投资者的具体资产规模、收入标准及视为合格投资者的情形，以中国证监会现行规定为准，填写前应核对最新口径；本函仅为受让方声明与确认文件，不能免除管理人依法应当履行的投资者适当性评估、风险测评与匹配程序。】</w:t>
      </w:r>
    </w:p>
    <w:p>
      <w:pPr>
        <w:spacing w:line="319" w:lineRule="auto" w:after="40"/>
        <w:jc w:val="both"/>
      </w:pPr>
      <w:r>
        <w:rPr>
          <w:rFonts w:ascii="Times New Roman" w:hAnsi="Times New Roman" w:eastAsia="SimSun"/>
          <w:b w:val="0"/>
          <w:sz w:val="24"/>
        </w:rPr>
        <w:t>2、本单位/本人受让标的份额对应的投资金额不低于法律、行政法规及中国证监会规定的最低投资限额。</w:t>
      </w:r>
    </w:p>
    <w:p>
      <w:pPr>
        <w:spacing w:line="319" w:lineRule="auto" w:after="40"/>
        <w:jc w:val="both"/>
      </w:pPr>
      <w:r>
        <w:rPr>
          <w:rFonts w:ascii="Times New Roman" w:hAnsi="Times New Roman" w:eastAsia="SimSun"/>
          <w:b w:val="0"/>
          <w:sz w:val="24"/>
        </w:rPr>
        <w:t>3、受让资金来源合法，系本单位/本人自有资金，不存在使用非法汇集资金或其他违反法律法规的资金受让标的份额的情形。</w:t>
      </w:r>
    </w:p>
    <w:p>
      <w:pPr>
        <w:spacing w:line="319" w:lineRule="auto" w:after="40"/>
        <w:jc w:val="both"/>
      </w:pPr>
      <w:r>
        <w:rPr>
          <w:rFonts w:ascii="Times New Roman" w:hAnsi="Times New Roman" w:eastAsia="SimSun"/>
          <w:b w:val="0"/>
          <w:sz w:val="24"/>
        </w:rPr>
        <w:t>4、根据《私募投资基金监督管理条例》第十八条，私募基金应当向合格投资者募集或者转让，不得将私募基金份额或者其收益权进行拆分转让、降低合格投资者标准。本单位/本人承诺不存在拆分受让标的份额或者其收益权、为他人代持份额、接受他人委托代持、以汇集多数人资金等方式变相突破合格投资者标准的情形。</w:t>
      </w:r>
    </w:p>
    <w:p>
      <w:pPr>
        <w:spacing w:line="319" w:lineRule="auto" w:after="40"/>
        <w:jc w:val="both"/>
      </w:pPr>
      <w:r>
        <w:rPr>
          <w:rFonts w:ascii="Times New Roman" w:hAnsi="Times New Roman" w:eastAsia="SimSun"/>
          <w:b w:val="0"/>
          <w:sz w:val="24"/>
        </w:rPr>
        <w:t>5、本单位/本人不属于法律、行政法规及中国证监会规定禁止投资私募基金的主体，不存在法律法规禁止投资的情形。</w:t>
      </w:r>
    </w:p>
    <w:p>
      <w:pPr>
        <w:spacing w:line="319" w:lineRule="auto" w:after="40"/>
        <w:jc w:val="both"/>
      </w:pPr>
      <w:r>
        <w:rPr>
          <w:rFonts w:ascii="Times New Roman" w:hAnsi="Times New Roman" w:eastAsia="SimSun"/>
          <w:b w:val="0"/>
          <w:sz w:val="24"/>
        </w:rPr>
        <w:t>6、本单位/本人承诺配合管理人就上述事项进行核查，并按管理人要求提供资产证明文件、收入证明文件或其他证明材料。</w:t>
      </w:r>
    </w:p>
    <w:p>
      <w:pPr>
        <w:spacing w:line="319" w:lineRule="auto" w:after="40"/>
        <w:jc w:val="both"/>
      </w:pPr>
      <w:r>
        <w:rPr>
          <w:rFonts w:ascii="Times New Roman" w:hAnsi="Times New Roman" w:eastAsia="SimSun"/>
          <w:b w:val="0"/>
          <w:sz w:val="24"/>
        </w:rPr>
        <w:t>7、本单位/本人确认本函所载信息及所提交材料真实、准确、完整，无虚假记载、误导性陈述或重大遗漏；如有不实，愿意自行承担由此产生的全部法律后果，并赔偿因此给【基金】、其他合伙人及管理人造成的损失。</w:t>
      </w:r>
    </w:p>
    <w:p>
      <w:pPr>
        <w:spacing w:line="341" w:lineRule="auto" w:before="200" w:after="120"/>
      </w:pPr>
      <w:r>
        <w:rPr>
          <w:rFonts w:ascii="Times New Roman" w:hAnsi="Times New Roman" w:eastAsia="SimHei"/>
          <w:b/>
          <w:sz w:val="28"/>
        </w:rPr>
        <w:t>第二部分　风险揭示与确认</w:t>
      </w:r>
    </w:p>
    <w:p>
      <w:pPr>
        <w:spacing w:line="319" w:lineRule="auto" w:after="40"/>
        <w:jc w:val="both"/>
      </w:pPr>
      <w:r>
        <w:rPr>
          <w:rFonts w:ascii="Times New Roman" w:hAnsi="Times New Roman" w:eastAsia="SimSun"/>
          <w:b w:val="0"/>
          <w:sz w:val="24"/>
        </w:rPr>
        <w:t>本单位/本人已知悉并充分理解下列风险事项，逐项确认如下（请在每项后勾选，并由签署人在勾选处签署姓名或加盖印章）：</w:t>
      </w:r>
    </w:p>
    <w:p>
      <w:pPr>
        <w:spacing w:line="319" w:lineRule="auto" w:after="40"/>
        <w:jc w:val="both"/>
      </w:pPr>
      <w:r>
        <w:rPr>
          <w:rFonts w:ascii="Times New Roman" w:hAnsi="Times New Roman" w:eastAsia="SimSun"/>
          <w:b w:val="0"/>
          <w:sz w:val="24"/>
        </w:rPr>
        <w:t>1、市场与投资风险：【基金】所投资标的受宏观经济、行业周期、市场波动及被投企业经营状况等因素影响，可能出现投资收益不达预期乃至投资本金部分或全部损失的风险。确认：□</w:t>
      </w:r>
    </w:p>
    <w:p>
      <w:pPr>
        <w:spacing w:line="319" w:lineRule="auto" w:after="40"/>
        <w:jc w:val="both"/>
      </w:pPr>
      <w:r>
        <w:rPr>
          <w:rFonts w:ascii="Times New Roman" w:hAnsi="Times New Roman" w:eastAsia="SimSun"/>
          <w:b w:val="0"/>
          <w:sz w:val="24"/>
        </w:rPr>
        <w:t>2、流动性风险：根据《私募投资基金登记备案办法》第三十五条，私募股权基金备案完成后投资者不得赎回或退出。【基金】为封闭运作，本单位/本人受让后无赎回安排，份额再转让受合伙协议及法律法规的限制，可能在较长期间内无法变现。确认：□</w:t>
      </w:r>
    </w:p>
    <w:p>
      <w:pPr>
        <w:spacing w:line="319" w:lineRule="auto" w:after="40"/>
        <w:jc w:val="both"/>
      </w:pPr>
      <w:r>
        <w:rPr>
          <w:rFonts w:ascii="Times New Roman" w:hAnsi="Times New Roman" w:eastAsia="SimSun"/>
          <w:b w:val="0"/>
          <w:sz w:val="24"/>
        </w:rPr>
        <w:t>3、未实缴出资风险：标的份额项下尚有未实缴认缴出资人民币【●】元，本单位/本人受让后须按照合伙协议约定的出资进度及缴款通知履行后续缴付义务；逾期未缴可能依合伙协议承担违约金、收益分配受限、份额稀释乃至除名等违约后果。确认：□</w:t>
      </w:r>
    </w:p>
    <w:p>
      <w:pPr>
        <w:spacing w:line="319" w:lineRule="auto" w:after="40"/>
        <w:jc w:val="both"/>
      </w:pPr>
      <w:r>
        <w:rPr>
          <w:rFonts w:ascii="Times New Roman" w:hAnsi="Times New Roman" w:eastAsia="SimSun"/>
          <w:b w:val="0"/>
          <w:sz w:val="24"/>
        </w:rPr>
        <w:t>4、管理人变更风险：根据《私募投资基金登记备案办法》第二十八条第二款第(八)项，管理人的控股股东、实际控制人、普通合伙人发生变更尚未在协会完成变更手续的，应当通过风险揭示书向投资者特别提示。如【基金】正在办理私募基金管理人变更，或存在前述尚未完成的变更事项的，本单位/本人确认已收到并知悉相关特别提示。确认：□适用，已知悉／□不适用</w:t>
      </w:r>
    </w:p>
    <w:p>
      <w:pPr>
        <w:spacing w:line="319" w:lineRule="auto" w:after="40"/>
        <w:jc w:val="both"/>
      </w:pPr>
      <w:r>
        <w:rPr>
          <w:rFonts w:ascii="Times New Roman" w:hAnsi="Times New Roman" w:eastAsia="SimSun"/>
          <w:b w:val="0"/>
          <w:sz w:val="24"/>
        </w:rPr>
        <w:t>5、税务风险：受让、持有以及未来转让、退出基金份额可能产生相应纳税义务，相关税收政策及征管口径可能发生变化，由此产生的税负由本单位/本人依法承担。确认：□</w:t>
      </w:r>
    </w:p>
    <w:p>
      <w:pPr>
        <w:spacing w:line="319" w:lineRule="auto" w:after="40"/>
        <w:jc w:val="both"/>
      </w:pPr>
      <w:r>
        <w:rPr>
          <w:rFonts w:ascii="Times New Roman" w:hAnsi="Times New Roman" w:eastAsia="SimSun"/>
          <w:b w:val="0"/>
          <w:sz w:val="24"/>
        </w:rPr>
        <w:t>6、存量份额受让性质说明：本次受让系受让存量基金份额，并非参与新的基金募集；根据《私募投资基金监督管理条例》第十八条，私募基金应当向合格投资者募集或者转让，故本单位/本人虽非募集对象，仍须符合并在持有期间持续符合合格投资者标准。确认：□</w:t>
      </w:r>
    </w:p>
    <w:p>
      <w:pPr>
        <w:spacing w:line="319" w:lineRule="auto" w:after="40"/>
        <w:jc w:val="both"/>
      </w:pPr>
      <w:r>
        <w:rPr>
          <w:rFonts w:ascii="Times New Roman" w:hAnsi="Times New Roman" w:eastAsia="SimSun"/>
          <w:b w:val="0"/>
          <w:sz w:val="24"/>
        </w:rPr>
        <w:t>7、文件获取确认：本单位/本人确认已获得并认真阅读下列文件：□基金合同　□合伙协议　□【基金】最近一期信息披露报告　□其他：【●】。确认：□</w:t>
      </w:r>
    </w:p>
    <w:p>
      <w:pPr>
        <w:spacing w:line="319" w:lineRule="auto" w:after="40"/>
        <w:jc w:val="both"/>
      </w:pPr>
      <w:r>
        <w:rPr>
          <w:rFonts w:ascii="Times New Roman" w:hAnsi="Times New Roman" w:eastAsia="SimSun"/>
          <w:b w:val="0"/>
          <w:sz w:val="24"/>
        </w:rPr>
        <w:t>8、业绩与承诺确认：本单位/本人确认，管理人、转让方及任何第三方均未向本单位/本人作出保本、保收益或类似承诺；【基金】过往业绩不代表未来表现。确认：□</w:t>
      </w:r>
    </w:p>
    <w:p>
      <w:pPr>
        <w:spacing w:line="319" w:lineRule="auto" w:after="40"/>
        <w:jc w:val="both"/>
      </w:pPr>
      <w:r>
        <w:rPr>
          <w:rFonts w:ascii="Times New Roman" w:hAnsi="Times New Roman" w:eastAsia="SimSun"/>
          <w:b w:val="0"/>
          <w:sz w:val="24"/>
        </w:rPr>
        <w:t>受让方声明：本单位/本人已充分理解本函全部内容，上述确认均系真实意思表示，自愿签署本函并承担相应义务与风险。</w:t>
      </w:r>
    </w:p>
    <w:p>
      <w:pPr>
        <w:spacing w:line="319" w:lineRule="auto" w:after="40"/>
        <w:jc w:val="both"/>
      </w:pPr>
      <w:r>
        <w:rPr>
          <w:rFonts w:ascii="Times New Roman" w:hAnsi="Times New Roman" w:eastAsia="SimSun"/>
          <w:b w:val="0"/>
          <w:sz w:val="24"/>
        </w:rPr>
        <w:t>受让方：【受让方】（盖章/签字）</w:t>
      </w:r>
    </w:p>
    <w:p>
      <w:pPr>
        <w:spacing w:line="319" w:lineRule="auto" w:after="40"/>
        <w:jc w:val="both"/>
      </w:pPr>
      <w:r>
        <w:rPr>
          <w:rFonts w:ascii="Times New Roman" w:hAnsi="Times New Roman" w:eastAsia="SimSun"/>
          <w:b w:val="0"/>
          <w:sz w:val="24"/>
        </w:rPr>
        <w:t>法定代表人/授权代表/本人签字：</w:t>
      </w:r>
    </w:p>
    <w:p>
      <w:pPr>
        <w:spacing w:line="319" w:lineRule="auto" w:after="40"/>
        <w:jc w:val="both"/>
      </w:pPr>
      <w:r>
        <w:rPr>
          <w:rFonts w:ascii="Times New Roman" w:hAnsi="Times New Roman" w:eastAsia="SimSun"/>
          <w:b w:val="0"/>
          <w:sz w:val="24"/>
        </w:rPr>
        <w:t>签署日期：【●】年【●】月【●】日</w:t>
      </w:r>
    </w:p>
    <w:p>
      <w:pPr>
        <w:spacing w:line="341" w:lineRule="auto" w:before="200" w:after="120"/>
      </w:pPr>
      <w:r>
        <w:rPr>
          <w:rFonts w:ascii="Times New Roman" w:hAnsi="Times New Roman" w:eastAsia="SimHei"/>
          <w:b/>
          <w:sz w:val="28"/>
        </w:rPr>
        <w:t>管理人适当性匹配意见（确认栏）</w:t>
      </w:r>
    </w:p>
    <w:p>
      <w:pPr>
        <w:spacing w:line="319" w:lineRule="auto" w:after="40"/>
        <w:jc w:val="both"/>
      </w:pPr>
      <w:r>
        <w:rPr>
          <w:rFonts w:ascii="Times New Roman" w:hAnsi="Times New Roman" w:eastAsia="SimSun"/>
          <w:b w:val="0"/>
          <w:sz w:val="24"/>
        </w:rPr>
        <w:t>经审查受让方提交的合格投资者证明材料、风险测评结果及本函所载声明，管理人认为（勾选其一）：</w:t>
      </w:r>
    </w:p>
    <w:p>
      <w:pPr>
        <w:spacing w:line="319" w:lineRule="auto" w:after="40"/>
        <w:jc w:val="both"/>
      </w:pPr>
      <w:r>
        <w:rPr>
          <w:rFonts w:ascii="Times New Roman" w:hAnsi="Times New Roman" w:eastAsia="SimSun"/>
          <w:b w:val="0"/>
          <w:sz w:val="24"/>
        </w:rPr>
        <w:t>□受让方符合合格投资者标准，其风险识别能力和风险承担能力与【基金】的风险等级【●】相匹配，同意其受让标的份额，并将按规定办理投资者信息变更等后续手续；</w:t>
      </w:r>
    </w:p>
    <w:p>
      <w:pPr>
        <w:spacing w:line="319" w:lineRule="auto" w:after="40"/>
        <w:jc w:val="both"/>
      </w:pPr>
      <w:r>
        <w:rPr>
          <w:rFonts w:ascii="Times New Roman" w:hAnsi="Times New Roman" w:eastAsia="SimSun"/>
          <w:b w:val="0"/>
          <w:sz w:val="24"/>
        </w:rPr>
        <w:t>□受让方不符合合格投资者标准，或其风险承担能力与【基金】的风险等级不匹配，不同意本次受让。</w:t>
      </w:r>
    </w:p>
    <w:p>
      <w:pPr>
        <w:spacing w:line="319" w:lineRule="auto" w:after="40"/>
        <w:jc w:val="both"/>
      </w:pPr>
      <w:r>
        <w:rPr>
          <w:rFonts w:ascii="Times New Roman" w:hAnsi="Times New Roman" w:eastAsia="SimSun"/>
          <w:b w:val="0"/>
          <w:sz w:val="24"/>
        </w:rPr>
        <w:t>经办人签字：</w:t>
      </w:r>
    </w:p>
    <w:p>
      <w:pPr>
        <w:spacing w:line="319" w:lineRule="auto" w:after="40"/>
        <w:jc w:val="both"/>
      </w:pPr>
      <w:r>
        <w:rPr>
          <w:rFonts w:ascii="Times New Roman" w:hAnsi="Times New Roman" w:eastAsia="SimSun"/>
          <w:b w:val="0"/>
          <w:sz w:val="24"/>
        </w:rPr>
        <w:t>【原管理人】（盖章）</w:t>
      </w:r>
    </w:p>
    <w:p>
      <w:pPr>
        <w:spacing w:line="319" w:lineRule="auto" w:after="40"/>
        <w:jc w:val="both"/>
      </w:pPr>
      <w:r>
        <w:rPr>
          <w:rFonts w:ascii="Times New Roman" w:hAnsi="Times New Roman" w:eastAsia="SimSun"/>
          <w:b w:val="0"/>
          <w:sz w:val="24"/>
        </w:rPr>
        <w:t>日期：【●】年【●】月【●】日</w:t>
      </w:r>
    </w:p>
    <w:p>
      <w:pPr>
        <w:spacing w:line="300" w:lineRule="auto" w:after="60"/>
        <w:jc w:val="both"/>
      </w:pPr>
      <w:r>
        <w:rPr>
          <w:rFonts w:ascii="Times New Roman" w:hAnsi="Times New Roman" w:eastAsia="SimSun"/>
          <w:b w:val="0"/>
          <w:color w:val="7F7F7F"/>
          <w:sz w:val="21"/>
        </w:rPr>
        <w:t>【拟稿注：管理人出具不同意意见的，份额转让协议项下相应先决条件不成就，建议在转让协议中明确此情形下的解除机制与已付价款返还安排。管理人应将本函连同风险测评、资产或收入证明等适当性材料一并归档留存，以备协会自律检查与监管核查。】</w:t>
      </w:r>
    </w:p>
    <w:p>
      <w:pPr>
        <w:spacing w:line="319" w:lineRule="auto" w:after="40"/>
        <w:jc w:val="both"/>
      </w:pPr>
      <w:r>
        <w:rPr>
          <w:rFonts w:ascii="Times New Roman" w:hAnsi="Times New Roman" w:eastAsia="SimSun"/>
          <w:b w:val="0"/>
          <w:sz w:val="24"/>
        </w:rPr>
      </w:r>
    </w:p>
    <w:p>
      <w:pPr>
        <w:spacing w:line="300" w:lineRule="auto" w:after="60"/>
        <w:jc w:val="both"/>
      </w:pPr>
      <w:r>
        <w:rPr>
          <w:rFonts w:ascii="Times New Roman" w:hAnsi="Times New Roman" w:eastAsia="SimSun"/>
          <w:b w:val="0"/>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08_受让方合格投资者确认与风险揭示函</dc:title>
  <dc:subject/>
  <dc:creator>谭棉花律师法律文书库</dc:creator>
  <cp:keywords/>
  <dc:description>generated by python-docx</dc:description>
  <cp:lastModifiedBy/>
  <cp:revision>1</cp:revision>
  <dcterms:created xsi:type="dcterms:W3CDTF">2013-12-23T23:15:00Z</dcterms:created>
  <dcterms:modified xsi:type="dcterms:W3CDTF">2013-12-23T23:15:00Z</dcterms:modified>
  <cp:category/>
</cp:coreProperties>
</file>