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240"/>
        <w:jc w:val="center"/>
      </w:pPr>
      <w:r>
        <w:rPr>
          <w:rFonts w:ascii="Times New Roman" w:hAnsi="Times New Roman" w:eastAsia="SimHei"/>
          <w:b/>
          <w:sz w:val="36"/>
        </w:rPr>
        <w:t>退伙结算确认书</w:t>
      </w:r>
    </w:p>
    <w:p>
      <w:pPr>
        <w:spacing w:line="360" w:lineRule="auto" w:after="200"/>
        <w:jc w:val="center"/>
      </w:pPr>
      <w:r>
        <w:rPr>
          <w:rFonts w:ascii="Times New Roman" w:hAnsi="Times New Roman" w:eastAsia="SimSun"/>
          <w:b w:val="0"/>
          <w:sz w:val="28"/>
        </w:rPr>
        <w:t>（示范文本）</w:t>
      </w:r>
    </w:p>
    <w:p>
      <w:pPr>
        <w:spacing w:line="300" w:lineRule="auto" w:after="60"/>
        <w:jc w:val="both"/>
      </w:pPr>
      <w:r>
        <w:rPr>
          <w:rFonts w:ascii="Times New Roman" w:hAnsi="Times New Roman" w:eastAsia="SimSun"/>
          <w:b w:val="0"/>
          <w:color w:val="7F7F7F"/>
          <w:sz w:val="21"/>
        </w:rPr>
        <w:t>【拟稿注：本确认书适用于普通合伙人（GP）份额转让交割后，【转让方】与【基金】就退出所涉财产结算作最终确认的场景，与本包01号《普通合伙人（GP）份额转让协议》配套使用。签署方为【转让方】与【基金】（由【执行事务合伙人】代表签署；如【转让方】原为执行事务合伙人，由其他普通合伙人或按合伙协议确定的代表签署），【受让方】可作为确认方加签。本确认书系各方内部结算与责任确认文件，不免除也不减轻转让方对债权人的法定责任。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【转让方】：【●】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统一社会信用代码/身份证号：【●】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住所：【●】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联系电话：【●】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电子邮箱：【●】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【基金】：【●】（有限合伙）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统一社会信用代码：【●】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住所：【●】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执行事务合伙人（或按合伙协议确定的代表）：【●】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【受让方】（确认方，如适用）：【●】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统一社会信用代码/身份证号：【●】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鉴于【转让方】已按01号协议将其持有的【基金】普通合伙人财产份额转让给【受让方】，交割已于【●】年【●】月【●】日完成，现各方就退出结算事项确认如下：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一、结算基准与财产状况确认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1、各方确认以【●】年【●】月【●】日为结算基准日，按该日【基金】的财产状况进行结算（《中华人民共和国合伙企业法》第五十一条），财产状况的确认依据为：【●】（经会计师事务所专项核算/各方共同认可的财务报表）。结算基准日原则上与01号协议第五条约定的基准日为同一日；不为同一日的，应在备注栏说明理由及差异期间损益、费用的归属处理方式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2、结算情况见下表：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项目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金额（元）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备注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结算基准日基金财产净值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依据：【●】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转让方份额对应权益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计算口径：【●】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转让方应收未收分配款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转让方应付未付款项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含应缴未缴出资、应分摊费用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应赔偿扣减数额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见本确认书第三条</w:t>
            </w:r>
          </w:p>
        </w:tc>
      </w:tr>
      <w:tr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抵销后应退/应收净额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3120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由【●】向【●】支付</w:t>
            </w:r>
          </w:p>
        </w:tc>
      </w:tr>
    </w:tbl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二、应退应收金额与支付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1、经相互核对抵销，【●】应向【●】支付净额人民币【●】元，于本确认书签署后【●】个工作日内支付至指定账户。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2、除第四条未了结事务及第八条保留事项外，【转让方】与【基金】之间就标的份额对应的结算事项不再互负其他支付义务。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三、赔偿扣减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【转让方】对给【基金】造成的损失负有赔偿责任的，从其应退财产份额中相应扣减其应当赔偿的数额（《中华人民共和国合伙企业法》第五十一条）。本次结算已扣减数额及事由：【●】（如无，填无）。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四、未了结事务清单与补充结算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1、截至结算基准日，【基金】存在下列未了结事务，按《中华人民共和国合伙企业法》第五十一条第二款，待该等事务了结后进行补充结算：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序号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未了结事务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预计了结时点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补充结算安排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Hei"/>
                <w:b/>
                <w:sz w:val="21"/>
              </w:rPr>
              <w:t>经办责任方</w:t>
            </w:r>
          </w:p>
        </w:tc>
      </w:tr>
      <w:tr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1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【●】（如：被投企业项目退出）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</w:tr>
      <w:tr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2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【●】(如：未决诉讼或仲裁)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</w:tr>
      <w:tr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3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  <w:tc>
          <w:tcPr>
            <w:tcW w:type="dxa" w:w="1872"/>
          </w:tcPr>
          <w:p>
            <w:pPr>
              <w:spacing w:line="288" w:lineRule="auto"/>
            </w:pPr>
            <w:r/>
            <w:r>
              <w:rPr>
                <w:rFonts w:ascii="Times New Roman" w:hAnsi="Times New Roman" w:eastAsia="SimSun"/>
                <w:b w:val="0"/>
                <w:sz w:val="21"/>
              </w:rPr>
              <w:t>【●】</w:t>
            </w:r>
          </w:p>
        </w:tc>
      </w:tr>
    </w:tbl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2、补充结算按本确认书第一条确定的口径执行，各方另有书面约定的除外。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五、管理费与业绩报酬切割确认（如适用）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□适用　□不适用：【转让方】兼任【基金】管理人或享有管理报酬的，其管理费及业绩报酬按下列方式处理：□已按本包10号文件约定结算完毕；□按下列预提与多退少补安排处理：【●】。</w:t>
      </w:r>
    </w:p>
    <w:p>
      <w:pPr>
        <w:spacing w:line="300" w:lineRule="auto" w:after="60"/>
        <w:jc w:val="both"/>
      </w:pPr>
      <w:r>
        <w:rPr>
          <w:rFonts w:ascii="Times New Roman" w:hAnsi="Times New Roman" w:eastAsia="SimSun"/>
          <w:b w:val="0"/>
          <w:color w:val="7F7F7F"/>
          <w:sz w:val="21"/>
        </w:rPr>
        <w:t>【拟稿注：业绩报酬通常须待项目退出或基金清算方能最终确定，勾选结算完毕前应核对是否仍有未退出项目；如有，应改用预提加多退少补安排并写明计算与返还机制。选定后删去未选支，空置的选择项在争议中可能被作不利解释。】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六、责任确认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1、【转让方】确认知悉：其对基于退出前的原因发生的【基金】债务，依法承担无限连带责任（《中华人民共和国合伙企业法》第五十三条），该项法定责任不因本确认书的签署或结算完成而免除，亦不得对抗债权人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2、【转让方】与【受让方】之间就前述债务的内部承担与相互补偿，按01号协议第六条执行，本确认书不作变更。</w:t>
      </w:r>
    </w:p>
    <w:p>
      <w:pPr>
        <w:spacing w:line="300" w:lineRule="auto" w:after="60"/>
        <w:jc w:val="both"/>
      </w:pPr>
      <w:r>
        <w:rPr>
          <w:rFonts w:ascii="Times New Roman" w:hAnsi="Times New Roman" w:eastAsia="SimSun"/>
          <w:b w:val="0"/>
          <w:color w:val="7F7F7F"/>
          <w:sz w:val="21"/>
        </w:rPr>
        <w:t>【拟稿注：如本次退出实为普通合伙人转变为有限合伙人而留存于基金的场景，责任基础应改按《合伙企业法》第八十四条表述——其对作为普通合伙人期间合伙企业发生的债务承担无限连带责任，并相应调整本条援引及01号协议对应条款。】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七、移交完成确认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各方确认，01号协议附件二移交清单所列印章、证照、会计账簿、投资档案、募集结算资金专用账户资料等已移交并签收完毕。尚未移交事项：【●】（如无，填无），应于【●】年【●】月【●】日前完成移交。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八、无争议确认与保留事项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1、除第四条未了结事务、第七条尚未移交事项及下列保留事项外，各方确认就【转让方】退出结算事项相互不存在其他争议。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2、保留事项：【●】（如无，填无）。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3、因本确认书发生争议的，按01号协议第十二条约定的方式解决。</w:t>
      </w:r>
    </w:p>
    <w:p>
      <w:pPr>
        <w:spacing w:line="341" w:lineRule="auto" w:before="200" w:after="120"/>
      </w:pPr>
      <w:r>
        <w:rPr>
          <w:rFonts w:ascii="Times New Roman" w:hAnsi="Times New Roman" w:eastAsia="SimHei"/>
          <w:b/>
          <w:sz w:val="28"/>
        </w:rPr>
        <w:t>九、生效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本确认书自【转让方】与【基金】盖章或签字之日起生效；【受让方】加签的，其确认部分自加签之日起生效。本确认书一式【●】份，各方各执【●】份。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（以下无正文，为签署页）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【转让方】（盖章/签字）：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签署日期：【●】年【●】月【●】日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【基金】（盖章）：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执行事务合伙人（或按合伙协议确定的代表）（盖章/签字）：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签署日期：【●】年【●】月【●】日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【受让方】（确认，如适用）（盖章/签字）：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  <w:t>签署日期：【●】年【●】月【●】日</w:t>
      </w:r>
    </w:p>
    <w:p>
      <w:pPr>
        <w:spacing w:line="319" w:lineRule="auto" w:after="40"/>
        <w:jc w:val="both"/>
      </w:pPr>
      <w:r>
        <w:rPr>
          <w:rFonts w:ascii="Times New Roman" w:hAnsi="Times New Roman" w:eastAsia="SimSun"/>
          <w:b w:val="0"/>
          <w:sz w:val="24"/>
        </w:rPr>
      </w:r>
    </w:p>
    <w:p>
      <w:pPr>
        <w:spacing w:line="300" w:lineRule="auto" w:after="60"/>
        <w:jc w:val="both"/>
      </w:pPr>
      <w:r>
        <w:rPr>
          <w:rFonts w:ascii="Times New Roman" w:hAnsi="Times New Roman" w:eastAsia="SimSun"/>
          <w:b w:val="0"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07_退伙结算确认书（转让方退出结算）</dc:title>
  <dc:subject/>
  <dc:creator>谭棉花律师法律文书库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