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合伙协议修正案（合伙人变更）</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适用场景与用法——本修正案用于财产份额转让完成合伙法同意程序后，将合伙人变更落入合伙协议文本，与本包01号《普通合伙人（GP）份额转让协议》或02号《有限合伙人（LP）份额转让协议》（以下统称《份额转让协议》）、03号决议、05号《入伙协议（受让方入伙）》配套使用。合伙人以外的人依法受让财产份额的，经修改合伙协议即成为合伙人（《合伙企业法》第二十四条），故本修正案是受让方取得合伙人资格的关键节点文件。签署主体为全体合伙人（含新入伙的【受让方】）；修改或者补充合伙协议应当经全体合伙人一致同意，合伙协议另有约定的除外（第十九条第二款）。本修正案签署后应当自作出变更决议、决定之日起30日内办理市场主体变更登记（《市场主体登记管理条例》第二十四条），并作为向中国证券投资基金业协会报送变更材料的组成部分。】</w:t>
      </w:r>
    </w:p>
    <w:p>
      <w:pPr>
        <w:spacing w:line="319" w:lineRule="auto" w:after="40"/>
        <w:jc w:val="both"/>
      </w:pPr>
      <w:r>
        <w:rPr>
          <w:rFonts w:ascii="Times New Roman" w:hAnsi="Times New Roman" w:eastAsia="SimSun"/>
          <w:b w:val="0"/>
          <w:sz w:val="24"/>
        </w:rPr>
        <w:t>本修正案由【基金】全体合伙人（含新入伙合伙人）共同签署：</w:t>
      </w:r>
    </w:p>
    <w:p>
      <w:pPr>
        <w:spacing w:line="319" w:lineRule="auto" w:after="40"/>
        <w:jc w:val="both"/>
      </w:pPr>
      <w:r>
        <w:rPr>
          <w:rFonts w:ascii="Times New Roman" w:hAnsi="Times New Roman" w:eastAsia="SimSun"/>
          <w:b w:val="0"/>
          <w:sz w:val="24"/>
        </w:rPr>
        <w:t>合伙人一（普通合伙人暨执行事务合伙人）：【执行事务合伙人】</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合伙人二（【普通合伙人／有限合伙人】，转让方）：【转让方】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合伙人三（【普通合伙人／有限合伙人】，新合伙人）：【受让方】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合伙人四（【普通合伙人／有限合伙人】）：【其他合伙人】</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（合伙人人数较多的，依次续列）</w:t>
      </w:r>
    </w:p>
    <w:p>
      <w:pPr>
        <w:spacing w:line="319" w:lineRule="auto" w:after="40"/>
        <w:jc w:val="both"/>
      </w:pPr>
      <w:r>
        <w:rPr>
          <w:rFonts w:ascii="Times New Roman" w:hAnsi="Times New Roman" w:eastAsia="SimSun"/>
          <w:b w:val="0"/>
          <w:sz w:val="24"/>
        </w:rPr>
        <w:t>鉴于：</w:t>
      </w:r>
    </w:p>
    <w:p>
      <w:pPr>
        <w:spacing w:line="319" w:lineRule="auto" w:after="40"/>
        <w:jc w:val="both"/>
      </w:pPr>
      <w:r>
        <w:rPr>
          <w:rFonts w:ascii="Times New Roman" w:hAnsi="Times New Roman" w:eastAsia="SimSun"/>
          <w:b w:val="0"/>
          <w:sz w:val="24"/>
        </w:rPr>
        <w:t>1、各方为【基金】（统一社会信用代码：【●】；中国证券投资基金业协会备案编码：【●】）的全体合伙人，其中【受让方】系经03号决议同意入伙并已签署本包05号《入伙协议（受让方入伙）》的新合伙人；</w:t>
      </w:r>
    </w:p>
    <w:p>
      <w:pPr>
        <w:spacing w:line="319" w:lineRule="auto" w:after="40"/>
        <w:jc w:val="both"/>
      </w:pPr>
      <w:r>
        <w:rPr>
          <w:rFonts w:ascii="Times New Roman" w:hAnsi="Times New Roman" w:eastAsia="SimSun"/>
          <w:b w:val="0"/>
          <w:sz w:val="24"/>
        </w:rPr>
        <w:t>2、【转让方】与【受让方】已签署《份额转让协议》，全体合伙人已于【●】年【●】月【●】日作出03号决议，同意本次转让、放弃优先购买权、同意【受让方】入伙，并同意按本修正案修改于【●】年【●】月【●】日签署的《【基金】合伙协议》（含历次修正，下称原合伙协议）；</w:t>
      </w:r>
    </w:p>
    <w:p>
      <w:pPr>
        <w:spacing w:line="319" w:lineRule="auto" w:after="40"/>
        <w:jc w:val="both"/>
      </w:pPr>
      <w:r>
        <w:rPr>
          <w:rFonts w:ascii="Times New Roman" w:hAnsi="Times New Roman" w:eastAsia="SimSun"/>
          <w:b w:val="0"/>
          <w:sz w:val="24"/>
        </w:rPr>
        <w:t>3、根据《合伙企业法》第十九条第二款，修改或者补充合伙协议应当经全体合伙人一致同意，合伙协议另有约定的除外；根据第二十四条，合伙人以外的人依法受让财产份额的，经修改合伙协议即成为合伙人。</w:t>
      </w:r>
    </w:p>
    <w:p>
      <w:pPr>
        <w:spacing w:line="319" w:lineRule="auto" w:after="40"/>
        <w:jc w:val="both"/>
      </w:pPr>
      <w:r>
        <w:rPr>
          <w:rFonts w:ascii="Times New Roman" w:hAnsi="Times New Roman" w:eastAsia="SimSun"/>
          <w:b w:val="0"/>
          <w:sz w:val="24"/>
        </w:rPr>
        <w:t>各方订立本修正案：</w:t>
      </w:r>
    </w:p>
    <w:p>
      <w:pPr>
        <w:spacing w:line="341" w:lineRule="auto" w:before="200" w:after="120"/>
      </w:pPr>
      <w:r>
        <w:rPr>
          <w:rFonts w:ascii="Times New Roman" w:hAnsi="Times New Roman" w:eastAsia="SimHei"/>
          <w:b/>
          <w:sz w:val="28"/>
        </w:rPr>
        <w:t>第一条　修改依据</w:t>
      </w:r>
    </w:p>
    <w:p>
      <w:pPr>
        <w:spacing w:line="319" w:lineRule="auto" w:after="40"/>
        <w:jc w:val="both"/>
      </w:pPr>
      <w:r>
        <w:rPr>
          <w:rFonts w:ascii="Times New Roman" w:hAnsi="Times New Roman" w:eastAsia="SimSun"/>
          <w:b w:val="0"/>
          <w:sz w:val="24"/>
        </w:rPr>
        <w:t>本修正案依据原合伙协议第【●】条、03号决议以及《合伙企业法》第十九条第二款、第二十四条订立，是原合伙协议不可分割的组成部分。</w:t>
      </w:r>
    </w:p>
    <w:p>
      <w:pPr>
        <w:spacing w:line="341" w:lineRule="auto" w:before="200" w:after="120"/>
      </w:pPr>
      <w:r>
        <w:rPr>
          <w:rFonts w:ascii="Times New Roman" w:hAnsi="Times New Roman" w:eastAsia="SimHei"/>
          <w:b/>
          <w:sz w:val="28"/>
        </w:rPr>
        <w:t>第二条　合伙人名册及出资条款的修改</w:t>
      </w:r>
    </w:p>
    <w:p>
      <w:pPr>
        <w:spacing w:line="319" w:lineRule="auto" w:after="40"/>
        <w:jc w:val="both"/>
      </w:pPr>
      <w:r>
        <w:rPr>
          <w:rFonts w:ascii="Times New Roman" w:hAnsi="Times New Roman" w:eastAsia="SimSun"/>
          <w:b w:val="0"/>
          <w:sz w:val="24"/>
        </w:rPr>
        <w:t>原合伙协议第【●】条所载合伙人名册及认缴出资、实缴出资的约定修改如下：</w:t>
      </w:r>
    </w:p>
    <w:p>
      <w:pPr>
        <w:spacing w:line="319" w:lineRule="auto" w:after="40"/>
        <w:jc w:val="both"/>
      </w:pPr>
      <w:r>
        <w:rPr>
          <w:rFonts w:ascii="Times New Roman" w:hAnsi="Times New Roman" w:eastAsia="SimSun"/>
          <w:b w:val="0"/>
          <w:sz w:val="24"/>
        </w:rPr>
        <w:t>变更前合伙人名册：</w:t>
      </w:r>
    </w:p>
    <w:tbl>
      <w:tblPr>
        <w:tblStyle w:val="TableGrid"/>
        <w:tblW w:type="auto" w:w="0"/>
        <w:tblLook w:firstColumn="1" w:firstRow="1" w:lastColumn="0" w:lastRow="0" w:noHBand="0" w:noVBand="1" w:val="04A0"/>
      </w:tblPr>
      <w:tblGrid>
        <w:gridCol w:w="1560"/>
        <w:gridCol w:w="1560"/>
        <w:gridCol w:w="1560"/>
        <w:gridCol w:w="1560"/>
        <w:gridCol w:w="1560"/>
        <w:gridCol w:w="1560"/>
      </w:tblGrid>
      <w:tr>
        <w:tc>
          <w:tcPr>
            <w:tcW w:type="dxa" w:w="1560"/>
          </w:tcPr>
          <w:p>
            <w:pPr>
              <w:spacing w:line="288" w:lineRule="auto"/>
            </w:pPr>
            <w:r/>
            <w:r>
              <w:rPr>
                <w:rFonts w:ascii="Times New Roman" w:hAnsi="Times New Roman" w:eastAsia="SimHei"/>
                <w:b/>
                <w:sz w:val="21"/>
              </w:rPr>
              <w:t>序号</w:t>
            </w:r>
          </w:p>
        </w:tc>
        <w:tc>
          <w:tcPr>
            <w:tcW w:type="dxa" w:w="1560"/>
          </w:tcPr>
          <w:p>
            <w:pPr>
              <w:spacing w:line="288" w:lineRule="auto"/>
            </w:pPr>
            <w:r/>
            <w:r>
              <w:rPr>
                <w:rFonts w:ascii="Times New Roman" w:hAnsi="Times New Roman" w:eastAsia="SimHei"/>
                <w:b/>
                <w:sz w:val="21"/>
              </w:rPr>
              <w:t>合伙人名称</w:t>
            </w:r>
          </w:p>
        </w:tc>
        <w:tc>
          <w:tcPr>
            <w:tcW w:type="dxa" w:w="1560"/>
          </w:tcPr>
          <w:p>
            <w:pPr>
              <w:spacing w:line="288" w:lineRule="auto"/>
            </w:pPr>
            <w:r/>
            <w:r>
              <w:rPr>
                <w:rFonts w:ascii="Times New Roman" w:hAnsi="Times New Roman" w:eastAsia="SimHei"/>
                <w:b/>
                <w:sz w:val="21"/>
              </w:rPr>
              <w:t>类型</w:t>
            </w:r>
          </w:p>
        </w:tc>
        <w:tc>
          <w:tcPr>
            <w:tcW w:type="dxa" w:w="1560"/>
          </w:tcPr>
          <w:p>
            <w:pPr>
              <w:spacing w:line="288" w:lineRule="auto"/>
            </w:pPr>
            <w:r/>
            <w:r>
              <w:rPr>
                <w:rFonts w:ascii="Times New Roman" w:hAnsi="Times New Roman" w:eastAsia="SimHei"/>
                <w:b/>
                <w:sz w:val="21"/>
              </w:rPr>
              <w:t>认缴出资（元）</w:t>
            </w:r>
          </w:p>
        </w:tc>
        <w:tc>
          <w:tcPr>
            <w:tcW w:type="dxa" w:w="1560"/>
          </w:tcPr>
          <w:p>
            <w:pPr>
              <w:spacing w:line="288" w:lineRule="auto"/>
            </w:pPr>
            <w:r/>
            <w:r>
              <w:rPr>
                <w:rFonts w:ascii="Times New Roman" w:hAnsi="Times New Roman" w:eastAsia="SimHei"/>
                <w:b/>
                <w:sz w:val="21"/>
              </w:rPr>
              <w:t>实缴出资（元）</w:t>
            </w:r>
          </w:p>
        </w:tc>
        <w:tc>
          <w:tcPr>
            <w:tcW w:type="dxa" w:w="1560"/>
          </w:tcPr>
          <w:p>
            <w:pPr>
              <w:spacing w:line="288" w:lineRule="auto"/>
            </w:pPr>
            <w:r/>
            <w:r>
              <w:rPr>
                <w:rFonts w:ascii="Times New Roman" w:hAnsi="Times New Roman" w:eastAsia="SimHei"/>
                <w:b/>
                <w:sz w:val="21"/>
              </w:rPr>
              <w:t>出资比例</w:t>
            </w:r>
          </w:p>
        </w:tc>
      </w:tr>
      <w:tr>
        <w:tc>
          <w:tcPr>
            <w:tcW w:type="dxa" w:w="1560"/>
          </w:tcPr>
          <w:p>
            <w:pPr>
              <w:spacing w:line="288" w:lineRule="auto"/>
            </w:pPr>
            <w:r/>
            <w:r>
              <w:rPr>
                <w:rFonts w:ascii="Times New Roman" w:hAnsi="Times New Roman" w:eastAsia="SimSun"/>
                <w:b w:val="0"/>
                <w:sz w:val="21"/>
              </w:rPr>
              <w:t>1</w:t>
            </w:r>
          </w:p>
        </w:tc>
        <w:tc>
          <w:tcPr>
            <w:tcW w:type="dxa" w:w="1560"/>
          </w:tcPr>
          <w:p>
            <w:pPr>
              <w:spacing w:line="288" w:lineRule="auto"/>
            </w:pPr>
            <w:r/>
            <w:r>
              <w:rPr>
                <w:rFonts w:ascii="Times New Roman" w:hAnsi="Times New Roman" w:eastAsia="SimSun"/>
                <w:b w:val="0"/>
                <w:sz w:val="21"/>
              </w:rPr>
              <w:t>【执行事务合伙人】</w:t>
            </w:r>
          </w:p>
        </w:tc>
        <w:tc>
          <w:tcPr>
            <w:tcW w:type="dxa" w:w="1560"/>
          </w:tcPr>
          <w:p>
            <w:pPr>
              <w:spacing w:line="288" w:lineRule="auto"/>
            </w:pPr>
            <w:r/>
            <w:r>
              <w:rPr>
                <w:rFonts w:ascii="Times New Roman" w:hAnsi="Times New Roman" w:eastAsia="SimSun"/>
                <w:b w:val="0"/>
                <w:sz w:val="21"/>
              </w:rPr>
              <w:t>普通合伙人</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2</w:t>
            </w:r>
          </w:p>
        </w:tc>
        <w:tc>
          <w:tcPr>
            <w:tcW w:type="dxa" w:w="1560"/>
          </w:tcPr>
          <w:p>
            <w:pPr>
              <w:spacing w:line="288" w:lineRule="auto"/>
            </w:pPr>
            <w:r/>
            <w:r>
              <w:rPr>
                <w:rFonts w:ascii="Times New Roman" w:hAnsi="Times New Roman" w:eastAsia="SimSun"/>
                <w:b w:val="0"/>
                <w:sz w:val="21"/>
              </w:rPr>
              <w:t>【转让方】</w:t>
            </w:r>
          </w:p>
        </w:tc>
        <w:tc>
          <w:tcPr>
            <w:tcW w:type="dxa" w:w="1560"/>
          </w:tcPr>
          <w:p>
            <w:pPr>
              <w:spacing w:line="288" w:lineRule="auto"/>
            </w:pPr>
            <w:r/>
            <w:r>
              <w:rPr>
                <w:rFonts w:ascii="Times New Roman" w:hAnsi="Times New Roman" w:eastAsia="SimSun"/>
                <w:b w:val="0"/>
                <w:sz w:val="21"/>
              </w:rPr>
              <w:t>【普通合伙人／有限合伙人】</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3</w:t>
            </w:r>
          </w:p>
        </w:tc>
        <w:tc>
          <w:tcPr>
            <w:tcW w:type="dxa" w:w="1560"/>
          </w:tcPr>
          <w:p>
            <w:pPr>
              <w:spacing w:line="288" w:lineRule="auto"/>
            </w:pPr>
            <w:r/>
            <w:r>
              <w:rPr>
                <w:rFonts w:ascii="Times New Roman" w:hAnsi="Times New Roman" w:eastAsia="SimSun"/>
                <w:b w:val="0"/>
                <w:sz w:val="21"/>
              </w:rPr>
              <w:t>【其他合伙人】</w:t>
            </w:r>
          </w:p>
        </w:tc>
        <w:tc>
          <w:tcPr>
            <w:tcW w:type="dxa" w:w="1560"/>
          </w:tcPr>
          <w:p>
            <w:pPr>
              <w:spacing w:line="288" w:lineRule="auto"/>
            </w:pPr>
            <w:r/>
            <w:r>
              <w:rPr>
                <w:rFonts w:ascii="Times New Roman" w:hAnsi="Times New Roman" w:eastAsia="SimSun"/>
                <w:b w:val="0"/>
                <w:sz w:val="21"/>
              </w:rPr>
              <w:t>【普通合伙人／有限合伙人】</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4</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合计</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100％</w:t>
            </w:r>
          </w:p>
        </w:tc>
      </w:tr>
    </w:tbl>
    <w:p>
      <w:pPr>
        <w:spacing w:line="319" w:lineRule="auto" w:after="40"/>
        <w:jc w:val="both"/>
      </w:pPr>
      <w:r>
        <w:rPr>
          <w:rFonts w:ascii="Times New Roman" w:hAnsi="Times New Roman" w:eastAsia="SimSun"/>
          <w:b w:val="0"/>
          <w:sz w:val="24"/>
        </w:rPr>
        <w:t>变更后合伙人名册：</w:t>
      </w:r>
    </w:p>
    <w:tbl>
      <w:tblPr>
        <w:tblStyle w:val="TableGrid"/>
        <w:tblW w:type="auto" w:w="0"/>
        <w:tblLook w:firstColumn="1" w:firstRow="1" w:lastColumn="0" w:lastRow="0" w:noHBand="0" w:noVBand="1" w:val="04A0"/>
      </w:tblPr>
      <w:tblGrid>
        <w:gridCol w:w="1560"/>
        <w:gridCol w:w="1560"/>
        <w:gridCol w:w="1560"/>
        <w:gridCol w:w="1560"/>
        <w:gridCol w:w="1560"/>
        <w:gridCol w:w="1560"/>
      </w:tblGrid>
      <w:tr>
        <w:tc>
          <w:tcPr>
            <w:tcW w:type="dxa" w:w="1560"/>
          </w:tcPr>
          <w:p>
            <w:pPr>
              <w:spacing w:line="288" w:lineRule="auto"/>
            </w:pPr>
            <w:r/>
            <w:r>
              <w:rPr>
                <w:rFonts w:ascii="Times New Roman" w:hAnsi="Times New Roman" w:eastAsia="SimHei"/>
                <w:b/>
                <w:sz w:val="21"/>
              </w:rPr>
              <w:t>序号</w:t>
            </w:r>
          </w:p>
        </w:tc>
        <w:tc>
          <w:tcPr>
            <w:tcW w:type="dxa" w:w="1560"/>
          </w:tcPr>
          <w:p>
            <w:pPr>
              <w:spacing w:line="288" w:lineRule="auto"/>
            </w:pPr>
            <w:r/>
            <w:r>
              <w:rPr>
                <w:rFonts w:ascii="Times New Roman" w:hAnsi="Times New Roman" w:eastAsia="SimHei"/>
                <w:b/>
                <w:sz w:val="21"/>
              </w:rPr>
              <w:t>合伙人名称</w:t>
            </w:r>
          </w:p>
        </w:tc>
        <w:tc>
          <w:tcPr>
            <w:tcW w:type="dxa" w:w="1560"/>
          </w:tcPr>
          <w:p>
            <w:pPr>
              <w:spacing w:line="288" w:lineRule="auto"/>
            </w:pPr>
            <w:r/>
            <w:r>
              <w:rPr>
                <w:rFonts w:ascii="Times New Roman" w:hAnsi="Times New Roman" w:eastAsia="SimHei"/>
                <w:b/>
                <w:sz w:val="21"/>
              </w:rPr>
              <w:t>类型</w:t>
            </w:r>
          </w:p>
        </w:tc>
        <w:tc>
          <w:tcPr>
            <w:tcW w:type="dxa" w:w="1560"/>
          </w:tcPr>
          <w:p>
            <w:pPr>
              <w:spacing w:line="288" w:lineRule="auto"/>
            </w:pPr>
            <w:r/>
            <w:r>
              <w:rPr>
                <w:rFonts w:ascii="Times New Roman" w:hAnsi="Times New Roman" w:eastAsia="SimHei"/>
                <w:b/>
                <w:sz w:val="21"/>
              </w:rPr>
              <w:t>认缴出资（元）</w:t>
            </w:r>
          </w:p>
        </w:tc>
        <w:tc>
          <w:tcPr>
            <w:tcW w:type="dxa" w:w="1560"/>
          </w:tcPr>
          <w:p>
            <w:pPr>
              <w:spacing w:line="288" w:lineRule="auto"/>
            </w:pPr>
            <w:r/>
            <w:r>
              <w:rPr>
                <w:rFonts w:ascii="Times New Roman" w:hAnsi="Times New Roman" w:eastAsia="SimHei"/>
                <w:b/>
                <w:sz w:val="21"/>
              </w:rPr>
              <w:t>实缴出资（元）</w:t>
            </w:r>
          </w:p>
        </w:tc>
        <w:tc>
          <w:tcPr>
            <w:tcW w:type="dxa" w:w="1560"/>
          </w:tcPr>
          <w:p>
            <w:pPr>
              <w:spacing w:line="288" w:lineRule="auto"/>
            </w:pPr>
            <w:r/>
            <w:r>
              <w:rPr>
                <w:rFonts w:ascii="Times New Roman" w:hAnsi="Times New Roman" w:eastAsia="SimHei"/>
                <w:b/>
                <w:sz w:val="21"/>
              </w:rPr>
              <w:t>出资比例</w:t>
            </w:r>
          </w:p>
        </w:tc>
      </w:tr>
      <w:tr>
        <w:tc>
          <w:tcPr>
            <w:tcW w:type="dxa" w:w="1560"/>
          </w:tcPr>
          <w:p>
            <w:pPr>
              <w:spacing w:line="288" w:lineRule="auto"/>
            </w:pPr>
            <w:r/>
            <w:r>
              <w:rPr>
                <w:rFonts w:ascii="Times New Roman" w:hAnsi="Times New Roman" w:eastAsia="SimSun"/>
                <w:b w:val="0"/>
                <w:sz w:val="21"/>
              </w:rPr>
              <w:t>1</w:t>
            </w:r>
          </w:p>
        </w:tc>
        <w:tc>
          <w:tcPr>
            <w:tcW w:type="dxa" w:w="1560"/>
          </w:tcPr>
          <w:p>
            <w:pPr>
              <w:spacing w:line="288" w:lineRule="auto"/>
            </w:pPr>
            <w:r/>
            <w:r>
              <w:rPr>
                <w:rFonts w:ascii="Times New Roman" w:hAnsi="Times New Roman" w:eastAsia="SimSun"/>
                <w:b w:val="0"/>
                <w:sz w:val="21"/>
              </w:rPr>
              <w:t>【执行事务合伙人】</w:t>
            </w:r>
          </w:p>
        </w:tc>
        <w:tc>
          <w:tcPr>
            <w:tcW w:type="dxa" w:w="1560"/>
          </w:tcPr>
          <w:p>
            <w:pPr>
              <w:spacing w:line="288" w:lineRule="auto"/>
            </w:pPr>
            <w:r/>
            <w:r>
              <w:rPr>
                <w:rFonts w:ascii="Times New Roman" w:hAnsi="Times New Roman" w:eastAsia="SimSun"/>
                <w:b w:val="0"/>
                <w:sz w:val="21"/>
              </w:rPr>
              <w:t>普通合伙人</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2</w:t>
            </w:r>
          </w:p>
        </w:tc>
        <w:tc>
          <w:tcPr>
            <w:tcW w:type="dxa" w:w="1560"/>
          </w:tcPr>
          <w:p>
            <w:pPr>
              <w:spacing w:line="288" w:lineRule="auto"/>
            </w:pPr>
            <w:r/>
            <w:r>
              <w:rPr>
                <w:rFonts w:ascii="Times New Roman" w:hAnsi="Times New Roman" w:eastAsia="SimSun"/>
                <w:b w:val="0"/>
                <w:sz w:val="21"/>
              </w:rPr>
              <w:t>【受让方】</w:t>
            </w:r>
          </w:p>
        </w:tc>
        <w:tc>
          <w:tcPr>
            <w:tcW w:type="dxa" w:w="1560"/>
          </w:tcPr>
          <w:p>
            <w:pPr>
              <w:spacing w:line="288" w:lineRule="auto"/>
            </w:pPr>
            <w:r/>
            <w:r>
              <w:rPr>
                <w:rFonts w:ascii="Times New Roman" w:hAnsi="Times New Roman" w:eastAsia="SimSun"/>
                <w:b w:val="0"/>
                <w:sz w:val="21"/>
              </w:rPr>
              <w:t>【普通合伙人／有限合伙人】</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3</w:t>
            </w:r>
          </w:p>
        </w:tc>
        <w:tc>
          <w:tcPr>
            <w:tcW w:type="dxa" w:w="1560"/>
          </w:tcPr>
          <w:p>
            <w:pPr>
              <w:spacing w:line="288" w:lineRule="auto"/>
            </w:pPr>
            <w:r/>
            <w:r>
              <w:rPr>
                <w:rFonts w:ascii="Times New Roman" w:hAnsi="Times New Roman" w:eastAsia="SimSun"/>
                <w:b w:val="0"/>
                <w:sz w:val="21"/>
              </w:rPr>
              <w:t>【其他合伙人】</w:t>
            </w:r>
          </w:p>
        </w:tc>
        <w:tc>
          <w:tcPr>
            <w:tcW w:type="dxa" w:w="1560"/>
          </w:tcPr>
          <w:p>
            <w:pPr>
              <w:spacing w:line="288" w:lineRule="auto"/>
            </w:pPr>
            <w:r/>
            <w:r>
              <w:rPr>
                <w:rFonts w:ascii="Times New Roman" w:hAnsi="Times New Roman" w:eastAsia="SimSun"/>
                <w:b w:val="0"/>
                <w:sz w:val="21"/>
              </w:rPr>
              <w:t>【普通合伙人／有限合伙人】</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4</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r>
      <w:tr>
        <w:tc>
          <w:tcPr>
            <w:tcW w:type="dxa" w:w="1560"/>
          </w:tcPr>
          <w:p>
            <w:pPr>
              <w:spacing w:line="288" w:lineRule="auto"/>
            </w:pPr>
            <w:r/>
            <w:r>
              <w:rPr>
                <w:rFonts w:ascii="Times New Roman" w:hAnsi="Times New Roman" w:eastAsia="SimSun"/>
                <w:b w:val="0"/>
                <w:sz w:val="21"/>
              </w:rPr>
              <w:t>合计</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100％</w:t>
            </w:r>
          </w:p>
        </w:tc>
      </w:tr>
    </w:tbl>
    <w:p>
      <w:pPr>
        <w:spacing w:line="300" w:lineRule="auto" w:after="60"/>
        <w:jc w:val="both"/>
      </w:pPr>
      <w:r>
        <w:rPr>
          <w:rFonts w:ascii="Times New Roman" w:hAnsi="Times New Roman" w:eastAsia="SimSun"/>
          <w:b w:val="0"/>
          <w:color w:val="7F7F7F"/>
          <w:sz w:val="21"/>
        </w:rPr>
        <w:t>【拟稿注：本表按转让方转让其全部份额并退出的情形拟制；如为部分转让，转让方应保留在变更后名册中并相应调减其认缴、实缴出资。普通合伙人全部退出的，应确保变更后至少有一名普通合伙人（《合伙企业法》第六十一条第二款），有限合伙企业仅剩有限合伙人的应当解散（第七十五条）。变更后名册应与市场主体登记信息、协会备案信息逐项一致，三处口径不一致的，变更手续易被退回补正。】</w:t>
      </w:r>
    </w:p>
    <w:p>
      <w:pPr>
        <w:spacing w:line="341" w:lineRule="auto" w:before="200" w:after="120"/>
      </w:pPr>
      <w:r>
        <w:rPr>
          <w:rFonts w:ascii="Times New Roman" w:hAnsi="Times New Roman" w:eastAsia="SimHei"/>
          <w:b/>
          <w:sz w:val="28"/>
        </w:rPr>
        <w:t>第三条　执行事务合伙人条款的修改（如涉及，未涉及的删除本条）</w:t>
      </w:r>
    </w:p>
    <w:p>
      <w:pPr>
        <w:spacing w:line="319" w:lineRule="auto" w:after="40"/>
        <w:jc w:val="both"/>
      </w:pPr>
      <w:r>
        <w:rPr>
          <w:rFonts w:ascii="Times New Roman" w:hAnsi="Times New Roman" w:eastAsia="SimSun"/>
          <w:b w:val="0"/>
          <w:sz w:val="24"/>
        </w:rPr>
        <w:t>原合伙协议第【●】条修改为：本合伙企业的执行事务合伙人为【●】，其委派代表为【●】；执行事务合伙人依法及依本协议执行合伙事务，对外代表本合伙企业（《合伙企业法》第二十六条第三款、第六十七条）。</w:t>
      </w:r>
    </w:p>
    <w:p>
      <w:pPr>
        <w:spacing w:line="300" w:lineRule="auto" w:after="60"/>
        <w:jc w:val="both"/>
      </w:pPr>
      <w:r>
        <w:rPr>
          <w:rFonts w:ascii="Times New Roman" w:hAnsi="Times New Roman" w:eastAsia="SimSun"/>
          <w:b w:val="0"/>
          <w:color w:val="7F7F7F"/>
          <w:sz w:val="21"/>
        </w:rPr>
        <w:t>【拟稿注：有限合伙企业由普通合伙人执行合伙事务（《合伙企业法》第六十七条），有限合伙人不得担任执行事务合伙人；作为合伙人的法人、其他组织执行合伙事务的，由其委派的代表执行（第二十六条第三款）。执行事务合伙人或其委派代表变更的，应同步办理市场主体变更登记及协会信息变更。执行事务合伙人与私募基金管理人分离的合伙型基金，还应同步核对并由基金、执行事务合伙人和管理人共同签署委托管理协议，作为向协会报送的材料（《私募投资基金备案指引第3号——私募投资基金变更管理人》材料清单要求）。】</w:t>
      </w:r>
    </w:p>
    <w:p>
      <w:pPr>
        <w:spacing w:line="341" w:lineRule="auto" w:before="200" w:after="120"/>
      </w:pPr>
      <w:r>
        <w:rPr>
          <w:rFonts w:ascii="Times New Roman" w:hAnsi="Times New Roman" w:eastAsia="SimHei"/>
          <w:b/>
          <w:sz w:val="28"/>
        </w:rPr>
        <w:t>第四条　管理人条款的修改（如涉及，未涉及的删除本条）</w:t>
      </w:r>
    </w:p>
    <w:p>
      <w:pPr>
        <w:spacing w:line="319" w:lineRule="auto" w:after="40"/>
        <w:jc w:val="both"/>
      </w:pPr>
      <w:r>
        <w:rPr>
          <w:rFonts w:ascii="Times New Roman" w:hAnsi="Times New Roman" w:eastAsia="SimSun"/>
          <w:b w:val="0"/>
          <w:sz w:val="24"/>
        </w:rPr>
        <w:t>原合伙协议第【●】条修改为：本基金的私募基金管理人为【新管理人】；管理人的权利义务按本协议、基金合同文件及委托管理协议（如有）执行。</w:t>
      </w:r>
    </w:p>
    <w:p>
      <w:pPr>
        <w:spacing w:line="300" w:lineRule="auto" w:after="60"/>
        <w:jc w:val="both"/>
      </w:pPr>
      <w:r>
        <w:rPr>
          <w:rFonts w:ascii="Times New Roman" w:hAnsi="Times New Roman" w:eastAsia="SimSun"/>
          <w:b w:val="0"/>
          <w:color w:val="7F7F7F"/>
          <w:sz w:val="21"/>
        </w:rPr>
        <w:t>【拟稿注：变更私募基金管理人不能仅凭本修正案完成——除法律另有规定或基金合同另有约定外，须经持有三分之二以上基金份额的投资者同意（《私募投资基金备案指引第3号——私募投资基金变更管理人》第四条），并由【原管理人】自变更之日起10个工作日内经登记备案电子系统报送、经【新管理人】系统内确认（指引3号第六条）。本条修改应与新基金合同、委托管理协议及投资者会议决议（本包11号文件）的表述保持一致，避免多文件冲突。】</w:t>
      </w:r>
    </w:p>
    <w:p>
      <w:pPr>
        <w:spacing w:line="341" w:lineRule="auto" w:before="200" w:after="120"/>
      </w:pPr>
      <w:r>
        <w:rPr>
          <w:rFonts w:ascii="Times New Roman" w:hAnsi="Times New Roman" w:eastAsia="SimHei"/>
          <w:b/>
          <w:sz w:val="28"/>
        </w:rPr>
        <w:t>第五条　利润分配与亏损分担条款的修改</w:t>
      </w:r>
    </w:p>
    <w:p>
      <w:pPr>
        <w:spacing w:line="319" w:lineRule="auto" w:after="40"/>
        <w:jc w:val="both"/>
      </w:pPr>
      <w:r>
        <w:rPr>
          <w:rFonts w:ascii="Times New Roman" w:hAnsi="Times New Roman" w:eastAsia="SimSun"/>
          <w:b w:val="0"/>
          <w:sz w:val="24"/>
        </w:rPr>
        <w:t>原合伙协议第【●】条（利润分配）、第【●】条（亏损分担）中涉及【转让方】的表述，自本修正案生效之日起替换为【受让方】；【受让方】按变更后名册所载出资比例及原合伙协议约定的分配顺序参与利润分配与亏损分担。基准日（以《份额转让协议》第【●】条约定的基准日为准）前已宣告未支付的分配款项归属，按《份额转让协议》第【●】条执行。</w:t>
      </w:r>
    </w:p>
    <w:p>
      <w:pPr>
        <w:spacing w:line="300" w:lineRule="auto" w:after="60"/>
        <w:jc w:val="both"/>
      </w:pPr>
      <w:r>
        <w:rPr>
          <w:rFonts w:ascii="Times New Roman" w:hAnsi="Times New Roman" w:eastAsia="SimSun"/>
          <w:b w:val="0"/>
          <w:color w:val="7F7F7F"/>
          <w:sz w:val="21"/>
        </w:rPr>
        <w:t>【拟稿注：本条只完成主体名称替换与权利义务承接；基准日前后损益切割、在途分配款归属必须在《份额转让协议》中作实质约定。两份文件就同一事项表述不一致的，争议中将产生解释空间，签署前应逐项核对。】</w:t>
      </w:r>
    </w:p>
    <w:p>
      <w:pPr>
        <w:spacing w:line="341" w:lineRule="auto" w:before="200" w:after="120"/>
      </w:pPr>
      <w:r>
        <w:rPr>
          <w:rFonts w:ascii="Times New Roman" w:hAnsi="Times New Roman" w:eastAsia="SimHei"/>
          <w:b/>
          <w:sz w:val="28"/>
        </w:rPr>
        <w:t>第六条　通知地址条款的修改</w:t>
      </w:r>
    </w:p>
    <w:p>
      <w:pPr>
        <w:spacing w:line="319" w:lineRule="auto" w:after="40"/>
        <w:jc w:val="both"/>
      </w:pPr>
      <w:r>
        <w:rPr>
          <w:rFonts w:ascii="Times New Roman" w:hAnsi="Times New Roman" w:eastAsia="SimSun"/>
          <w:b w:val="0"/>
          <w:sz w:val="24"/>
        </w:rPr>
        <w:t>原合伙协议第【●】条通知条款中【转让方】的通知信息删除（部分转让的除外），并增加【受让方】的通知信息如下：地址：【●】；联系人：【●】；电话：【●】；电子邮箱：【●】。</w:t>
      </w:r>
    </w:p>
    <w:p>
      <w:pPr>
        <w:spacing w:line="341" w:lineRule="auto" w:before="200" w:after="120"/>
      </w:pPr>
      <w:r>
        <w:rPr>
          <w:rFonts w:ascii="Times New Roman" w:hAnsi="Times New Roman" w:eastAsia="SimHei"/>
          <w:b/>
          <w:sz w:val="28"/>
        </w:rPr>
        <w:t>第七条　其他条款不变及冲突处理</w:t>
      </w:r>
    </w:p>
    <w:p>
      <w:pPr>
        <w:spacing w:line="319" w:lineRule="auto" w:after="40"/>
        <w:jc w:val="both"/>
      </w:pPr>
      <w:r>
        <w:rPr>
          <w:rFonts w:ascii="Times New Roman" w:hAnsi="Times New Roman" w:eastAsia="SimSun"/>
          <w:b w:val="0"/>
          <w:sz w:val="24"/>
        </w:rPr>
        <w:t>1、除本修正案明确修改的条款外，原合伙协议其余条款继续有效，各方继续遵照执行。</w:t>
      </w:r>
    </w:p>
    <w:p>
      <w:pPr>
        <w:spacing w:line="319" w:lineRule="auto" w:after="40"/>
        <w:jc w:val="both"/>
      </w:pPr>
      <w:r>
        <w:rPr>
          <w:rFonts w:ascii="Times New Roman" w:hAnsi="Times New Roman" w:eastAsia="SimSun"/>
          <w:b w:val="0"/>
          <w:sz w:val="24"/>
        </w:rPr>
        <w:t>2、本修正案与原合伙协议约定不一致的，以本修正案为准。</w:t>
      </w:r>
    </w:p>
    <w:p>
      <w:pPr>
        <w:spacing w:line="341" w:lineRule="auto" w:before="200" w:after="120"/>
      </w:pPr>
      <w:r>
        <w:rPr>
          <w:rFonts w:ascii="Times New Roman" w:hAnsi="Times New Roman" w:eastAsia="SimHei"/>
          <w:b/>
          <w:sz w:val="28"/>
        </w:rPr>
        <w:t>第八条　通知与送达</w:t>
      </w:r>
    </w:p>
    <w:p>
      <w:pPr>
        <w:spacing w:line="319" w:lineRule="auto" w:after="40"/>
        <w:jc w:val="both"/>
      </w:pPr>
      <w:r>
        <w:rPr>
          <w:rFonts w:ascii="Times New Roman" w:hAnsi="Times New Roman" w:eastAsia="SimSun"/>
          <w:b w:val="0"/>
          <w:sz w:val="24"/>
        </w:rPr>
        <w:t>本修正案项下的通知与送达，按原合伙协议第【●】条执行，通知地址以本修正案第六条更新后的信息为准。</w:t>
      </w:r>
    </w:p>
    <w:p>
      <w:pPr>
        <w:spacing w:line="341" w:lineRule="auto" w:before="200" w:after="120"/>
      </w:pPr>
      <w:r>
        <w:rPr>
          <w:rFonts w:ascii="Times New Roman" w:hAnsi="Times New Roman" w:eastAsia="SimHei"/>
          <w:b/>
          <w:sz w:val="28"/>
        </w:rPr>
        <w:t>第九条　争议解决</w:t>
      </w:r>
    </w:p>
    <w:p>
      <w:pPr>
        <w:spacing w:line="319" w:lineRule="auto" w:after="40"/>
        <w:jc w:val="both"/>
      </w:pPr>
      <w:r>
        <w:rPr>
          <w:rFonts w:ascii="Times New Roman" w:hAnsi="Times New Roman" w:eastAsia="SimSun"/>
          <w:b w:val="0"/>
          <w:sz w:val="24"/>
        </w:rPr>
        <w:t>因本修正案引起的或与本修正案有关的争议，各方应先行协商，协商期为一方书面提出争议之日起【●】日。协商不成的，按下列方式A或方式B解决：</w:t>
      </w:r>
    </w:p>
    <w:p>
      <w:pPr>
        <w:spacing w:line="319" w:lineRule="auto" w:after="40"/>
        <w:jc w:val="both"/>
      </w:pPr>
      <w:r>
        <w:rPr>
          <w:rFonts w:ascii="Times New Roman" w:hAnsi="Times New Roman" w:eastAsia="SimSun"/>
          <w:b w:val="0"/>
          <w:sz w:val="24"/>
        </w:rPr>
        <w:t>方式A：提交【●】仲裁委员会，按其申请仲裁时有效的仲裁规则进行仲裁，仲裁裁决为终局，对各方均有约束力。</w:t>
      </w:r>
    </w:p>
    <w:p>
      <w:pPr>
        <w:spacing w:line="319" w:lineRule="auto" w:after="40"/>
        <w:jc w:val="both"/>
      </w:pPr>
      <w:r>
        <w:rPr>
          <w:rFonts w:ascii="Times New Roman" w:hAnsi="Times New Roman" w:eastAsia="SimSun"/>
          <w:b w:val="0"/>
          <w:sz w:val="24"/>
        </w:rPr>
        <w:t>方式B：向有管辖权的人民法院起诉。</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【拟稿注：选定后删去未选支，空置的选择项在争议中可能被作不利解释。本修正案的争议解决安排应与原合伙协议保持一致，避免同一合伙关系项下不同文件出现管辖分裂。】</w:t>
      </w:r>
    </w:p>
    <w:p>
      <w:pPr>
        <w:spacing w:line="341" w:lineRule="auto" w:before="200" w:after="120"/>
      </w:pPr>
      <w:r>
        <w:rPr>
          <w:rFonts w:ascii="Times New Roman" w:hAnsi="Times New Roman" w:eastAsia="SimHei"/>
          <w:b/>
          <w:sz w:val="28"/>
        </w:rPr>
        <w:t>第十条　生效</w:t>
      </w:r>
    </w:p>
    <w:p>
      <w:pPr>
        <w:spacing w:line="319" w:lineRule="auto" w:after="40"/>
        <w:jc w:val="both"/>
      </w:pPr>
      <w:r>
        <w:rPr>
          <w:rFonts w:ascii="Times New Roman" w:hAnsi="Times New Roman" w:eastAsia="SimSun"/>
          <w:b w:val="0"/>
          <w:sz w:val="24"/>
        </w:rPr>
        <w:t>1、本修正案自全体合伙人（含【受让方】）盖章或签字之日起生效；各方签署日期不一致的，以最后一方签署之日为生效日。</w:t>
      </w:r>
    </w:p>
    <w:p>
      <w:pPr>
        <w:spacing w:line="319" w:lineRule="auto" w:after="40"/>
        <w:jc w:val="both"/>
      </w:pPr>
      <w:r>
        <w:rPr>
          <w:rFonts w:ascii="Times New Roman" w:hAnsi="Times New Roman" w:eastAsia="SimSun"/>
          <w:b w:val="0"/>
          <w:sz w:val="24"/>
        </w:rPr>
        <w:t>2、【受让方】自本修正案生效之日起成为【基金】合伙人（《合伙企业法》第二十四条）。</w:t>
      </w:r>
    </w:p>
    <w:p>
      <w:pPr>
        <w:spacing w:line="300" w:lineRule="auto" w:after="60"/>
        <w:jc w:val="both"/>
      </w:pPr>
      <w:r>
        <w:rPr>
          <w:rFonts w:ascii="Times New Roman" w:hAnsi="Times New Roman" w:eastAsia="SimSun"/>
          <w:b w:val="0"/>
          <w:color w:val="7F7F7F"/>
          <w:sz w:val="21"/>
        </w:rPr>
        <w:t>【拟稿注：程序顺序铁律——本修正案签署生效后，应当自作出变更决议、决定之日起30日内向登记机关申请市场主体变更登记（《市场主体登记管理条例》第二十四条）；完成市场主体变更登记后，自变更之日（指市场主体变更登记之日，《私募投资基金备案指引第2号——私募股权、创业投资基金》第三十五条第（七）项）起10个工作日内向中国证券投资基金业协会履行信息变更手续，报送变更决议文件、变更事项说明函及相应变更材料（《私募投资基金登记备案办法》第五十五条、指引2号第二十七条）。本修正案是向协会报送变更材料的组成部分，签署版本应与报送版本一致。】</w:t>
      </w:r>
    </w:p>
    <w:p>
      <w:pPr>
        <w:spacing w:line="341" w:lineRule="auto" w:before="200" w:after="120"/>
      </w:pPr>
      <w:r>
        <w:rPr>
          <w:rFonts w:ascii="Times New Roman" w:hAnsi="Times New Roman" w:eastAsia="SimHei"/>
          <w:b/>
          <w:sz w:val="28"/>
        </w:rPr>
        <w:t>签署页</w:t>
      </w:r>
    </w:p>
    <w:p>
      <w:pPr>
        <w:spacing w:line="319" w:lineRule="auto" w:after="40"/>
        <w:jc w:val="both"/>
      </w:pPr>
      <w:r>
        <w:rPr>
          <w:rFonts w:ascii="Times New Roman" w:hAnsi="Times New Roman" w:eastAsia="SimSun"/>
          <w:b w:val="0"/>
          <w:sz w:val="24"/>
        </w:rPr>
        <w:t>本修正案一式【●】份，全体合伙人各执一份，【基金】留存及办理登记备案手续所需份数另计。</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合伙人名称</w:t>
            </w:r>
          </w:p>
        </w:tc>
        <w:tc>
          <w:tcPr>
            <w:tcW w:type="dxa" w:w="2340"/>
          </w:tcPr>
          <w:p>
            <w:pPr>
              <w:spacing w:line="288" w:lineRule="auto"/>
            </w:pPr>
            <w:r/>
            <w:r>
              <w:rPr>
                <w:rFonts w:ascii="Times New Roman" w:hAnsi="Times New Roman" w:eastAsia="SimHei"/>
                <w:b/>
                <w:sz w:val="21"/>
              </w:rPr>
              <w:t>类型（普通合伙人／有限合伙人）</w:t>
            </w:r>
          </w:p>
        </w:tc>
        <w:tc>
          <w:tcPr>
            <w:tcW w:type="dxa" w:w="2340"/>
          </w:tcPr>
          <w:p>
            <w:pPr>
              <w:spacing w:line="288" w:lineRule="auto"/>
            </w:pPr>
            <w:r/>
            <w:r>
              <w:rPr>
                <w:rFonts w:ascii="Times New Roman" w:hAnsi="Times New Roman" w:eastAsia="SimHei"/>
                <w:b/>
                <w:sz w:val="21"/>
              </w:rPr>
              <w:t>盖章／签字</w:t>
            </w:r>
          </w:p>
        </w:tc>
        <w:tc>
          <w:tcPr>
            <w:tcW w:type="dxa" w:w="2340"/>
          </w:tcPr>
          <w:p>
            <w:pPr>
              <w:spacing w:line="288" w:lineRule="auto"/>
            </w:pPr>
            <w:r/>
            <w:r>
              <w:rPr>
                <w:rFonts w:ascii="Times New Roman" w:hAnsi="Times New Roman" w:eastAsia="SimHei"/>
                <w:b/>
                <w:sz w:val="21"/>
              </w:rPr>
              <w:t>签署日期</w:t>
            </w:r>
          </w:p>
        </w:tc>
      </w:tr>
      <w:tr>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普通合伙人</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【受让方】</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【转让方】</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【其他合伙人】</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bl>
    <w:p>
      <w:pPr>
        <w:spacing w:line="300" w:lineRule="auto" w:after="60"/>
        <w:jc w:val="both"/>
      </w:pPr>
      <w:r>
        <w:rPr>
          <w:rFonts w:ascii="Times New Roman" w:hAnsi="Times New Roman" w:eastAsia="SimSun"/>
          <w:b w:val="0"/>
          <w:color w:val="7F7F7F"/>
          <w:sz w:val="21"/>
        </w:rPr>
        <w:t>【拟稿注：转让方全部退出的，其是否在本修正案上签署，实务中有两种做法：其一，作为原合伙人一并签署，以满足全体合伙人一致同意的修改要求并固定其退出确认；其二，仅由变更后合伙人签署，其同意以03号决议覆盖。为降低争议风险，建议采第一种做法，由转让方一并签署本修正案。】</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06_合伙协议修正案（合伙人变更）</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