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入伙协议（受让方入伙）</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适用场景与用法——本协议用于【受让方】受让03号决议项下财产份额后办理入伙，落实《合伙企业法》第四十三条关于新合伙人入伙应当依法订立书面入伙协议的要求。签署方为【受让方】与全体现有合伙人，也可由【执行事务合伙人】按授权代表全体现有合伙人签署，但授权来源必须在03号决议中载明。本协议应与《普通合伙人（GP）份额转让协议》或《有限合伙人（LP）份额转让协议》（本包01号或02号，以下统称《份额转让协议》）、03号决议、06号《合伙协议修正案（合伙人变更）》配套使用，不宜单独使用。另提示：私募股权基金备案完成后投资者不得赎回或退出，但进行基金份额转让等情形不属于赎回或退出（《私募投资基金登记备案办法》第三十五条），本次入伙以份额受让方式进行，不属于新增募集，但受让方仍须满足合格投资者要求。】</w:t>
      </w:r>
    </w:p>
    <w:p>
      <w:pPr>
        <w:spacing w:line="319" w:lineRule="auto" w:after="40"/>
        <w:jc w:val="both"/>
      </w:pPr>
      <w:r>
        <w:rPr>
          <w:rFonts w:ascii="Times New Roman" w:hAnsi="Times New Roman" w:eastAsia="SimSun"/>
          <w:b w:val="0"/>
          <w:sz w:val="24"/>
        </w:rPr>
        <w:t>甲方（新合伙人／受让方）：【受让方】</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乙方（全体现有合伙人），按下列方式之一确定签署主体：</w:t>
      </w:r>
    </w:p>
    <w:p>
      <w:pPr>
        <w:spacing w:line="319" w:lineRule="auto" w:after="40"/>
        <w:jc w:val="both"/>
      </w:pPr>
      <w:r>
        <w:rPr>
          <w:rFonts w:ascii="Times New Roman" w:hAnsi="Times New Roman" w:eastAsia="SimSun"/>
          <w:b w:val="0"/>
          <w:sz w:val="24"/>
        </w:rPr>
        <w:t>方式A：全体现有合伙人逐一作为乙方签署本协议，名单及信息见附件一《现有合伙人名录》。</w:t>
      </w:r>
    </w:p>
    <w:p>
      <w:pPr>
        <w:spacing w:line="319" w:lineRule="auto" w:after="40"/>
        <w:jc w:val="both"/>
      </w:pPr>
      <w:r>
        <w:rPr>
          <w:rFonts w:ascii="Times New Roman" w:hAnsi="Times New Roman" w:eastAsia="SimSun"/>
          <w:b w:val="0"/>
          <w:sz w:val="24"/>
        </w:rPr>
        <w:t>方式B：由【执行事务合伙人】根据03号决议第（八）项之授权，代表全体现有合伙人签署本协议。</w:t>
      </w:r>
    </w:p>
    <w:p>
      <w:pPr>
        <w:spacing w:line="319" w:lineRule="auto" w:after="40"/>
        <w:jc w:val="both"/>
      </w:pPr>
      <w:r>
        <w:rPr>
          <w:rFonts w:ascii="Times New Roman" w:hAnsi="Times New Roman" w:eastAsia="SimSun"/>
          <w:b w:val="0"/>
          <w:sz w:val="24"/>
        </w:rPr>
        <w:t>【执行事务合伙人】名称：【●】</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采方式B的，须核对03号决议的授权文字明确覆盖代表全体现有合伙人签署入伙协议这一事项，仅有办理登记手续的授权不足以覆盖签署入伙协议；无法确认授权范围的，回到方式A由全体现有合伙人逐一签署。】</w:t>
      </w:r>
    </w:p>
    <w:p>
      <w:pPr>
        <w:spacing w:line="319" w:lineRule="auto" w:after="40"/>
        <w:jc w:val="both"/>
      </w:pPr>
      <w:r>
        <w:rPr>
          <w:rFonts w:ascii="Times New Roman" w:hAnsi="Times New Roman" w:eastAsia="SimSun"/>
          <w:b w:val="0"/>
          <w:sz w:val="24"/>
        </w:rPr>
        <w:t>鉴于：</w:t>
      </w:r>
    </w:p>
    <w:p>
      <w:pPr>
        <w:spacing w:line="319" w:lineRule="auto" w:after="40"/>
        <w:jc w:val="both"/>
      </w:pPr>
      <w:r>
        <w:rPr>
          <w:rFonts w:ascii="Times New Roman" w:hAnsi="Times New Roman" w:eastAsia="SimSun"/>
          <w:b w:val="0"/>
          <w:sz w:val="24"/>
        </w:rPr>
        <w:t>1、【基金】系依法设立的有限合伙企业，并已在中国证券投资基金业协会备案为私募投资基金（统一社会信用代码：【●】；备案编码：【●】）；</w:t>
      </w:r>
    </w:p>
    <w:p>
      <w:pPr>
        <w:spacing w:line="319" w:lineRule="auto" w:after="40"/>
        <w:jc w:val="both"/>
      </w:pPr>
      <w:r>
        <w:rPr>
          <w:rFonts w:ascii="Times New Roman" w:hAnsi="Times New Roman" w:eastAsia="SimSun"/>
          <w:b w:val="0"/>
          <w:sz w:val="24"/>
        </w:rPr>
        <w:t>2、【转让方】与【受让方】已于【●】年【●】月【●】日签署《份额转让协议》，约定【转让方】将其持有的【基金】认缴出资人民币【●】元对应的财产份额转让给【受让方】；</w:t>
      </w:r>
    </w:p>
    <w:p>
      <w:pPr>
        <w:spacing w:line="319" w:lineRule="auto" w:after="40"/>
        <w:jc w:val="both"/>
      </w:pPr>
      <w:r>
        <w:rPr>
          <w:rFonts w:ascii="Times New Roman" w:hAnsi="Times New Roman" w:eastAsia="SimSun"/>
          <w:b w:val="0"/>
          <w:sz w:val="24"/>
        </w:rPr>
        <w:t>3、全体合伙人已于【●】年【●】月【●】日作出《合伙人会议决议暨全体合伙人决定书》（本包03号，下称03号决议），同意本次转让、放弃优先购买权并同意【受让方】入伙；</w:t>
      </w:r>
    </w:p>
    <w:p>
      <w:pPr>
        <w:spacing w:line="319" w:lineRule="auto" w:after="40"/>
        <w:jc w:val="both"/>
      </w:pPr>
      <w:r>
        <w:rPr>
          <w:rFonts w:ascii="Times New Roman" w:hAnsi="Times New Roman" w:eastAsia="SimSun"/>
          <w:b w:val="0"/>
          <w:sz w:val="24"/>
        </w:rPr>
        <w:t>4、根据《合伙企业法》第四十三条，新合伙人入伙应当依法订立书面入伙协议。</w:t>
      </w:r>
    </w:p>
    <w:p>
      <w:pPr>
        <w:spacing w:line="319" w:lineRule="auto" w:after="40"/>
        <w:jc w:val="both"/>
      </w:pPr>
      <w:r>
        <w:rPr>
          <w:rFonts w:ascii="Times New Roman" w:hAnsi="Times New Roman" w:eastAsia="SimSun"/>
          <w:b w:val="0"/>
          <w:sz w:val="24"/>
        </w:rPr>
        <w:t>各方经协商一致，订立本协议：</w:t>
      </w:r>
    </w:p>
    <w:p>
      <w:pPr>
        <w:spacing w:line="341" w:lineRule="auto" w:before="200" w:after="120"/>
      </w:pPr>
      <w:r>
        <w:rPr>
          <w:rFonts w:ascii="Times New Roman" w:hAnsi="Times New Roman" w:eastAsia="SimHei"/>
          <w:b/>
          <w:sz w:val="28"/>
        </w:rPr>
        <w:t>第一条　入伙背景与依据</w:t>
      </w:r>
    </w:p>
    <w:p>
      <w:pPr>
        <w:spacing w:line="319" w:lineRule="auto" w:after="40"/>
        <w:jc w:val="both"/>
      </w:pPr>
      <w:r>
        <w:rPr>
          <w:rFonts w:ascii="Times New Roman" w:hAnsi="Times New Roman" w:eastAsia="SimSun"/>
          <w:b w:val="0"/>
          <w:sz w:val="24"/>
        </w:rPr>
        <w:t>1、【受让方】以受让03号决议项下标的份额的方式入伙【基金】，取得认缴出资人民币【●】元（其中已实缴人民币【●】元）对应的财产份额。</w:t>
      </w:r>
    </w:p>
    <w:p>
      <w:pPr>
        <w:spacing w:line="319" w:lineRule="auto" w:after="40"/>
        <w:jc w:val="both"/>
      </w:pPr>
      <w:r>
        <w:rPr>
          <w:rFonts w:ascii="Times New Roman" w:hAnsi="Times New Roman" w:eastAsia="SimSun"/>
          <w:b w:val="0"/>
          <w:sz w:val="24"/>
        </w:rPr>
        <w:t>2、本协议与《份额转让协议》、03号决议及本包06号《合伙协议修正案（合伙人变更）》（下称06号修正案）构成本次入伙的成套文件，应相互衔接解释。</w:t>
      </w:r>
    </w:p>
    <w:p>
      <w:pPr>
        <w:spacing w:line="341" w:lineRule="auto" w:before="200" w:after="120"/>
      </w:pPr>
      <w:r>
        <w:rPr>
          <w:rFonts w:ascii="Times New Roman" w:hAnsi="Times New Roman" w:eastAsia="SimHei"/>
          <w:b/>
          <w:sz w:val="28"/>
        </w:rPr>
        <w:t>第二条　入伙生效条件</w:t>
      </w:r>
    </w:p>
    <w:p>
      <w:pPr>
        <w:spacing w:line="319" w:lineRule="auto" w:after="40"/>
        <w:jc w:val="both"/>
      </w:pPr>
      <w:r>
        <w:rPr>
          <w:rFonts w:ascii="Times New Roman" w:hAnsi="Times New Roman" w:eastAsia="SimSun"/>
          <w:b w:val="0"/>
          <w:sz w:val="24"/>
        </w:rPr>
        <w:t>1、根据《合伙企业法》第四十三条、第二十四条，【受让方】取得【基金】合伙人资格以下列条件全部成就为准：（一）本协议经各方签署；（二）06号修正案经全体合伙人（含【受让方】）签署生效。</w:t>
      </w:r>
    </w:p>
    <w:p>
      <w:pPr>
        <w:spacing w:line="319" w:lineRule="auto" w:after="40"/>
        <w:jc w:val="both"/>
      </w:pPr>
      <w:r>
        <w:rPr>
          <w:rFonts w:ascii="Times New Roman" w:hAnsi="Times New Roman" w:eastAsia="SimSun"/>
          <w:b w:val="0"/>
          <w:sz w:val="24"/>
        </w:rPr>
        <w:t>2、【受让方】自06号修正案生效之日起成为【基金】合伙人，自该日起按修改后的合伙协议享有权利、承担义务。</w:t>
      </w:r>
    </w:p>
    <w:p>
      <w:pPr>
        <w:spacing w:line="300" w:lineRule="auto" w:after="60"/>
        <w:jc w:val="both"/>
      </w:pPr>
      <w:r>
        <w:rPr>
          <w:rFonts w:ascii="Times New Roman" w:hAnsi="Times New Roman" w:eastAsia="SimSun"/>
          <w:b w:val="0"/>
          <w:color w:val="7F7F7F"/>
          <w:sz w:val="21"/>
        </w:rPr>
        <w:t>【拟稿注：《合伙企业法》第二十四条规定，合伙人以外的人依法受让财产份额的，经修改合伙协议即成为合伙人。故合伙人资格取得时点应锚定于合伙协议修改完成，而非转让价款付清或工商变更登记；工商变更登记与协会变更手续是对外公示与监管程序，不是取得合伙人资格的生效要件，但应按06号修正案拟稿注所列期限办理。】</w:t>
      </w:r>
    </w:p>
    <w:p>
      <w:pPr>
        <w:spacing w:line="341" w:lineRule="auto" w:before="200" w:after="120"/>
      </w:pPr>
      <w:r>
        <w:rPr>
          <w:rFonts w:ascii="Times New Roman" w:hAnsi="Times New Roman" w:eastAsia="SimHei"/>
          <w:b/>
          <w:sz w:val="28"/>
        </w:rPr>
        <w:t>第三条　如实告知与资料确认</w:t>
      </w:r>
    </w:p>
    <w:p>
      <w:pPr>
        <w:spacing w:line="319" w:lineRule="auto" w:after="40"/>
        <w:jc w:val="both"/>
      </w:pPr>
      <w:r>
        <w:rPr>
          <w:rFonts w:ascii="Times New Roman" w:hAnsi="Times New Roman" w:eastAsia="SimSun"/>
          <w:b w:val="0"/>
          <w:sz w:val="24"/>
        </w:rPr>
        <w:t>1、全体现有合伙人确认：已按《合伙企业法》第四十三条第二款的要求，向【受让方】如实告知【基金】的经营状况和财务状况，并已交付附件二《已交付资料清单》所列资料。</w:t>
      </w:r>
    </w:p>
    <w:p>
      <w:pPr>
        <w:spacing w:line="319" w:lineRule="auto" w:after="40"/>
        <w:jc w:val="both"/>
      </w:pPr>
      <w:r>
        <w:rPr>
          <w:rFonts w:ascii="Times New Roman" w:hAnsi="Times New Roman" w:eastAsia="SimSun"/>
          <w:b w:val="0"/>
          <w:sz w:val="24"/>
        </w:rPr>
        <w:t>2、【受让方】确认：已收到附件二所列全部资料，已对【基金】进行必要的调查了解，并在此基础上自主作出入伙决定。</w:t>
      </w:r>
    </w:p>
    <w:p>
      <w:pPr>
        <w:spacing w:line="319" w:lineRule="auto" w:after="40"/>
        <w:jc w:val="both"/>
      </w:pPr>
      <w:r>
        <w:rPr>
          <w:rFonts w:ascii="Times New Roman" w:hAnsi="Times New Roman" w:eastAsia="SimSun"/>
          <w:b w:val="0"/>
          <w:sz w:val="24"/>
        </w:rPr>
        <w:t>3、本条确认不免除现有合伙人对故意隐瞒或者虚假陈述依法应承担的责任。</w:t>
      </w:r>
    </w:p>
    <w:p>
      <w:pPr>
        <w:spacing w:line="300" w:lineRule="auto" w:after="60"/>
        <w:jc w:val="both"/>
      </w:pPr>
      <w:r>
        <w:rPr>
          <w:rFonts w:ascii="Times New Roman" w:hAnsi="Times New Roman" w:eastAsia="SimSun"/>
          <w:b w:val="0"/>
          <w:color w:val="7F7F7F"/>
          <w:sz w:val="21"/>
        </w:rPr>
        <w:t>【拟稿注：如实告知系法定义务。附件二清单应逐项列明合伙协议及历次修正案、基金合同文件、最近一期财务报表、对外负债与或有负债、涉诉涉仲及行政处罚情况、底层投资组合等；清单越具体，事后围绕未如实告知产生争议的空间越小。】</w:t>
      </w:r>
    </w:p>
    <w:p>
      <w:pPr>
        <w:spacing w:line="341" w:lineRule="auto" w:before="200" w:after="120"/>
      </w:pPr>
      <w:r>
        <w:rPr>
          <w:rFonts w:ascii="Times New Roman" w:hAnsi="Times New Roman" w:eastAsia="SimHei"/>
          <w:b/>
          <w:sz w:val="28"/>
        </w:rPr>
        <w:t>第四条　新合伙人的权利义务</w:t>
      </w:r>
    </w:p>
    <w:p>
      <w:pPr>
        <w:spacing w:line="319" w:lineRule="auto" w:after="40"/>
        <w:jc w:val="both"/>
      </w:pPr>
      <w:r>
        <w:rPr>
          <w:rFonts w:ascii="Times New Roman" w:hAnsi="Times New Roman" w:eastAsia="SimSun"/>
          <w:b w:val="0"/>
          <w:sz w:val="24"/>
        </w:rPr>
        <w:t>1、自成为合伙人之日起，【受让方】与原合伙人享有同等权利、承担同等责任；本协议或06号修正案另有约定的，从其约定（《合伙企业法》第四十四条第一款）。</w:t>
      </w:r>
    </w:p>
    <w:p>
      <w:pPr>
        <w:spacing w:line="319" w:lineRule="auto" w:after="40"/>
        <w:jc w:val="both"/>
      </w:pPr>
      <w:r>
        <w:rPr>
          <w:rFonts w:ascii="Times New Roman" w:hAnsi="Times New Roman" w:eastAsia="SimSun"/>
          <w:b w:val="0"/>
          <w:sz w:val="24"/>
        </w:rPr>
        <w:t>2、【受让方】声明并承诺：其为符合规定的合格投资者，本次受让不存在将基金份额或者其收益权拆分转让、变相降低合格投资者标准的情形（《私募投资基金监督管理条例》第十八条）；其受让资金来源合法。</w:t>
      </w:r>
    </w:p>
    <w:p>
      <w:pPr>
        <w:spacing w:line="319" w:lineRule="auto" w:after="40"/>
        <w:jc w:val="both"/>
      </w:pPr>
      <w:r>
        <w:rPr>
          <w:rFonts w:ascii="Times New Roman" w:hAnsi="Times New Roman" w:eastAsia="SimSun"/>
          <w:b w:val="0"/>
          <w:sz w:val="24"/>
        </w:rPr>
        <w:t>3、【受让方】承诺配合【基金】及私募基金管理人履行投资者适当性、反洗钱、信息报送等法定程序，并及时提供所需材料。</w:t>
      </w:r>
    </w:p>
    <w:p>
      <w:pPr>
        <w:spacing w:line="341" w:lineRule="auto" w:before="200" w:after="120"/>
      </w:pPr>
      <w:r>
        <w:rPr>
          <w:rFonts w:ascii="Times New Roman" w:hAnsi="Times New Roman" w:eastAsia="SimHei"/>
          <w:b/>
          <w:sz w:val="28"/>
        </w:rPr>
        <w:t>第五条　入伙前债务的责任承担（按入伙身份勾选其一）</w:t>
      </w:r>
    </w:p>
    <w:p>
      <w:pPr>
        <w:spacing w:line="319" w:lineRule="auto" w:after="40"/>
        <w:jc w:val="both"/>
      </w:pPr>
      <w:r>
        <w:rPr>
          <w:rFonts w:ascii="Times New Roman" w:hAnsi="Times New Roman" w:eastAsia="SimSun"/>
          <w:b w:val="0"/>
          <w:sz w:val="24"/>
        </w:rPr>
        <w:t>方式A：【受让方】入伙后为普通合伙人。根据《合伙企业法》第四十四条第二款，【受让方】对入伙前【基金】的债务承担无限连带责任。该责任系对债权人的法定责任，各方关于内部责任分担或补偿的约定不得对抗【基金】的债权人；【受让方】与【转让方】之间的内部补偿安排由双方另行签署文件约定。</w:t>
      </w:r>
    </w:p>
    <w:p>
      <w:pPr>
        <w:spacing w:line="319" w:lineRule="auto" w:after="40"/>
        <w:jc w:val="both"/>
      </w:pPr>
      <w:r>
        <w:rPr>
          <w:rFonts w:ascii="Times New Roman" w:hAnsi="Times New Roman" w:eastAsia="SimSun"/>
          <w:b w:val="0"/>
          <w:sz w:val="24"/>
        </w:rPr>
        <w:t>方式B：【受让方】入伙后为有限合伙人。根据《合伙企业法》第七十七条，【受让方】对入伙前【基金】的债务，以其认缴的出资额为限承担责任。</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责任分轨绝不可错套：普通合伙人轨为对入伙前债务承担无限连带责任（第四十四条第二款），有限合伙人轨为以认缴出资额为限（第七十七条）；两轨对外责任均由法律规定，不能以当事人约定对外排除或降低，只能在转让方与受让方之间作内部补偿安排。】</w:t>
      </w:r>
    </w:p>
    <w:p>
      <w:pPr>
        <w:spacing w:line="341" w:lineRule="auto" w:before="200" w:after="120"/>
      </w:pPr>
      <w:r>
        <w:rPr>
          <w:rFonts w:ascii="Times New Roman" w:hAnsi="Times New Roman" w:eastAsia="SimHei"/>
          <w:b/>
          <w:sz w:val="28"/>
        </w:rPr>
        <w:t>第六条　出资义务承接与缴付安排</w:t>
      </w:r>
    </w:p>
    <w:p>
      <w:pPr>
        <w:spacing w:line="319" w:lineRule="auto" w:after="40"/>
        <w:jc w:val="both"/>
      </w:pPr>
      <w:r>
        <w:rPr>
          <w:rFonts w:ascii="Times New Roman" w:hAnsi="Times New Roman" w:eastAsia="SimSun"/>
          <w:b w:val="0"/>
          <w:sz w:val="24"/>
        </w:rPr>
        <w:t>1、【受让方】承接【转让方】在原合伙协议项下尚未缴付的认缴出资义务人民币【●】元，按06号修正案确定的出资进度缴付；【执行事务合伙人】发出缴付通知的，【受让方】应在通知载明的期限内缴付。</w:t>
      </w:r>
    </w:p>
    <w:p>
      <w:pPr>
        <w:spacing w:line="319" w:lineRule="auto" w:after="40"/>
        <w:jc w:val="both"/>
      </w:pPr>
      <w:r>
        <w:rPr>
          <w:rFonts w:ascii="Times New Roman" w:hAnsi="Times New Roman" w:eastAsia="SimSun"/>
          <w:b w:val="0"/>
          <w:sz w:val="24"/>
        </w:rPr>
        <w:t>2、【转让方】已实缴出资人民币【●】元对应的合伙权益，自【受让方】成为合伙人之日起由【受让方】享有。</w:t>
      </w:r>
    </w:p>
    <w:p>
      <w:pPr>
        <w:spacing w:line="319" w:lineRule="auto" w:after="40"/>
        <w:jc w:val="both"/>
      </w:pPr>
      <w:r>
        <w:rPr>
          <w:rFonts w:ascii="Times New Roman" w:hAnsi="Times New Roman" w:eastAsia="SimSun"/>
          <w:b w:val="0"/>
          <w:sz w:val="24"/>
        </w:rPr>
        <w:t>3、【受让方】逾期缴付出资的，按修改后合伙协议关于出资违约的条款承担责任。</w:t>
      </w:r>
    </w:p>
    <w:p>
      <w:pPr>
        <w:spacing w:line="300" w:lineRule="auto" w:after="60"/>
        <w:jc w:val="both"/>
      </w:pPr>
      <w:r>
        <w:rPr>
          <w:rFonts w:ascii="Times New Roman" w:hAnsi="Times New Roman" w:eastAsia="SimSun"/>
          <w:b w:val="0"/>
          <w:color w:val="7F7F7F"/>
          <w:sz w:val="21"/>
        </w:rPr>
        <w:t>【拟稿注：基准日（以《份额转让协议》约定的基准日为准）前后的收益分配与亏损分担归属，应在《份额转让协议》中作实质切割；本条只解决出资义务承接，避免两份文件就同一事项重复约定产生冲突。】</w:t>
      </w:r>
    </w:p>
    <w:p>
      <w:pPr>
        <w:spacing w:line="341" w:lineRule="auto" w:before="200" w:after="120"/>
      </w:pPr>
      <w:r>
        <w:rPr>
          <w:rFonts w:ascii="Times New Roman" w:hAnsi="Times New Roman" w:eastAsia="SimHei"/>
          <w:b/>
          <w:sz w:val="28"/>
        </w:rPr>
        <w:t>第七条　受合伙协议约束</w:t>
      </w:r>
    </w:p>
    <w:p>
      <w:pPr>
        <w:spacing w:line="319" w:lineRule="auto" w:after="40"/>
        <w:jc w:val="both"/>
      </w:pPr>
      <w:r>
        <w:rPr>
          <w:rFonts w:ascii="Times New Roman" w:hAnsi="Times New Roman" w:eastAsia="SimSun"/>
          <w:b w:val="0"/>
          <w:sz w:val="24"/>
        </w:rPr>
        <w:t>【受让方】确认已取得并阅读原合伙协议及其全部修正案、【基金】基金合同文件，自成为合伙人之日起受其约束，并遵守【基金】已备案基金合同文件项下投资者的各项义务。</w:t>
      </w:r>
    </w:p>
    <w:p>
      <w:pPr>
        <w:spacing w:line="341" w:lineRule="auto" w:before="200" w:after="120"/>
      </w:pPr>
      <w:r>
        <w:rPr>
          <w:rFonts w:ascii="Times New Roman" w:hAnsi="Times New Roman" w:eastAsia="SimHei"/>
          <w:b/>
          <w:sz w:val="28"/>
        </w:rPr>
        <w:t>第八条　保密</w:t>
      </w:r>
    </w:p>
    <w:p>
      <w:pPr>
        <w:spacing w:line="319" w:lineRule="auto" w:after="40"/>
        <w:jc w:val="both"/>
      </w:pPr>
      <w:r>
        <w:rPr>
          <w:rFonts w:ascii="Times New Roman" w:hAnsi="Times New Roman" w:eastAsia="SimSun"/>
          <w:b w:val="0"/>
          <w:sz w:val="24"/>
        </w:rPr>
        <w:t>各方对本协议内容、磋商过程中知悉的对方商业秘密及【基金】未公开信息负有保密义务，但法律法规要求披露、向登记备案机构报送或向各方聘请的专业顾问披露的除外。保密义务不因本协议终止而失效。</w:t>
      </w:r>
    </w:p>
    <w:p>
      <w:pPr>
        <w:spacing w:line="341" w:lineRule="auto" w:before="200" w:after="120"/>
      </w:pPr>
      <w:r>
        <w:rPr>
          <w:rFonts w:ascii="Times New Roman" w:hAnsi="Times New Roman" w:eastAsia="SimHei"/>
          <w:b/>
          <w:sz w:val="28"/>
        </w:rPr>
        <w:t>第九条　通知与送达</w:t>
      </w:r>
    </w:p>
    <w:p>
      <w:pPr>
        <w:spacing w:line="319" w:lineRule="auto" w:after="40"/>
        <w:jc w:val="both"/>
      </w:pPr>
      <w:r>
        <w:rPr>
          <w:rFonts w:ascii="Times New Roman" w:hAnsi="Times New Roman" w:eastAsia="SimSun"/>
          <w:b w:val="0"/>
          <w:sz w:val="24"/>
        </w:rPr>
        <w:t>1、各方之间的通知按本协议首部载明的地址、电话及电子邮箱送达；一方信息变更的，应自变更之日起【●】日内书面通知其他各方，未通知的，按原信息送达仍视为有效送达。</w:t>
      </w:r>
    </w:p>
    <w:p>
      <w:pPr>
        <w:spacing w:line="319" w:lineRule="auto" w:after="40"/>
        <w:jc w:val="both"/>
      </w:pPr>
      <w:r>
        <w:rPr>
          <w:rFonts w:ascii="Times New Roman" w:hAnsi="Times New Roman" w:eastAsia="SimSun"/>
          <w:b w:val="0"/>
          <w:sz w:val="24"/>
        </w:rPr>
        <w:t>2、专人送达的，签收之日视为送达；邮寄送达的，交邮后第【●】日视为送达；电子邮件送达的，发送成功且未收到系统退回通知的，发送之日视为送达。</w:t>
      </w:r>
    </w:p>
    <w:p>
      <w:pPr>
        <w:spacing w:line="341" w:lineRule="auto" w:before="200" w:after="120"/>
      </w:pPr>
      <w:r>
        <w:rPr>
          <w:rFonts w:ascii="Times New Roman" w:hAnsi="Times New Roman" w:eastAsia="SimHei"/>
          <w:b/>
          <w:sz w:val="28"/>
        </w:rPr>
        <w:t>第十条　争议解决</w:t>
      </w:r>
    </w:p>
    <w:p>
      <w:pPr>
        <w:spacing w:line="319" w:lineRule="auto" w:after="40"/>
        <w:jc w:val="both"/>
      </w:pPr>
      <w:r>
        <w:rPr>
          <w:rFonts w:ascii="Times New Roman" w:hAnsi="Times New Roman" w:eastAsia="SimSun"/>
          <w:b w:val="0"/>
          <w:sz w:val="24"/>
        </w:rPr>
        <w:t>因本协议引起的或与本协议有关的争议，各方应先行协商，协商期为一方书面提出争议之日起【●】日。协商不成的，按下列方式A或方式B解决：</w:t>
      </w:r>
    </w:p>
    <w:p>
      <w:pPr>
        <w:spacing w:line="319" w:lineRule="auto" w:after="40"/>
        <w:jc w:val="both"/>
      </w:pPr>
      <w:r>
        <w:rPr>
          <w:rFonts w:ascii="Times New Roman" w:hAnsi="Times New Roman" w:eastAsia="SimSun"/>
          <w:b w:val="0"/>
          <w:sz w:val="24"/>
        </w:rPr>
        <w:t>方式A：提交【●】仲裁委员会，按其申请仲裁时有效的仲裁规则进行仲裁，仲裁裁决为终局，对各方均有约束力。</w:t>
      </w:r>
    </w:p>
    <w:p>
      <w:pPr>
        <w:spacing w:line="319" w:lineRule="auto" w:after="40"/>
        <w:jc w:val="both"/>
      </w:pPr>
      <w:r>
        <w:rPr>
          <w:rFonts w:ascii="Times New Roman" w:hAnsi="Times New Roman" w:eastAsia="SimSun"/>
          <w:b w:val="0"/>
          <w:sz w:val="24"/>
        </w:rPr>
        <w:t>方式B：向有管辖权的人民法院起诉。</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【拟稿注：选定后删去未选支，空置的选择项在争议中可能被作不利解释。建议本协议与《份额转让协议》、06号修正案及原合伙协议采用同一争议解决安排，避免同一交易项下管辖分裂、平行程序。】</w:t>
      </w:r>
    </w:p>
    <w:p>
      <w:pPr>
        <w:spacing w:line="341" w:lineRule="auto" w:before="200" w:after="120"/>
      </w:pPr>
      <w:r>
        <w:rPr>
          <w:rFonts w:ascii="Times New Roman" w:hAnsi="Times New Roman" w:eastAsia="SimHei"/>
          <w:b/>
          <w:sz w:val="28"/>
        </w:rPr>
        <w:t>第十一条　生效与其他</w:t>
      </w:r>
    </w:p>
    <w:p>
      <w:pPr>
        <w:spacing w:line="319" w:lineRule="auto" w:after="40"/>
        <w:jc w:val="both"/>
      </w:pPr>
      <w:r>
        <w:rPr>
          <w:rFonts w:ascii="Times New Roman" w:hAnsi="Times New Roman" w:eastAsia="SimSun"/>
          <w:b w:val="0"/>
          <w:sz w:val="24"/>
        </w:rPr>
        <w:t>1、本协议自各方盖章或签字之日起成立并生效；【受让方】取得合伙人资格的时点按第二条执行。</w:t>
      </w:r>
    </w:p>
    <w:p>
      <w:pPr>
        <w:spacing w:line="319" w:lineRule="auto" w:after="40"/>
        <w:jc w:val="both"/>
      </w:pPr>
      <w:r>
        <w:rPr>
          <w:rFonts w:ascii="Times New Roman" w:hAnsi="Times New Roman" w:eastAsia="SimSun"/>
          <w:b w:val="0"/>
          <w:sz w:val="24"/>
        </w:rPr>
        <w:t>2、本协议未尽事宜，按修改后的合伙协议及法律法规执行。</w:t>
      </w:r>
    </w:p>
    <w:p>
      <w:pPr>
        <w:spacing w:line="319" w:lineRule="auto" w:after="40"/>
        <w:jc w:val="both"/>
      </w:pPr>
      <w:r>
        <w:rPr>
          <w:rFonts w:ascii="Times New Roman" w:hAnsi="Times New Roman" w:eastAsia="SimSun"/>
          <w:b w:val="0"/>
          <w:sz w:val="24"/>
        </w:rPr>
        <w:t>3、本协议一式【●】份，各方各执一份，其余用于办理登记备案手续。</w:t>
      </w:r>
    </w:p>
    <w:p>
      <w:pPr>
        <w:spacing w:line="341" w:lineRule="auto" w:before="200" w:after="120"/>
      </w:pPr>
      <w:r>
        <w:rPr>
          <w:rFonts w:ascii="Times New Roman" w:hAnsi="Times New Roman" w:eastAsia="SimHei"/>
          <w:b/>
          <w:sz w:val="28"/>
        </w:rPr>
        <w:t>签署页</w:t>
      </w:r>
    </w:p>
    <w:p>
      <w:pPr>
        <w:spacing w:line="319" w:lineRule="auto" w:after="40"/>
        <w:jc w:val="both"/>
      </w:pPr>
      <w:r>
        <w:rPr>
          <w:rFonts w:ascii="Times New Roman" w:hAnsi="Times New Roman" w:eastAsia="SimSun"/>
          <w:b w:val="0"/>
          <w:sz w:val="24"/>
        </w:rPr>
        <w:t>甲方（新合伙人／受让方）：【受让方】（盖章／签字）</w:t>
      </w:r>
    </w:p>
    <w:p>
      <w:pPr>
        <w:spacing w:line="319" w:lineRule="auto" w:after="40"/>
        <w:jc w:val="both"/>
      </w:pPr>
      <w:r>
        <w:rPr>
          <w:rFonts w:ascii="Times New Roman" w:hAnsi="Times New Roman" w:eastAsia="SimSun"/>
          <w:b w:val="0"/>
          <w:sz w:val="24"/>
        </w:rPr>
        <w:t>授权代表／本人签字：【●】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乙方（全体现有合伙人，按所选方式签署）：</w:t>
      </w:r>
    </w:p>
    <w:p>
      <w:pPr>
        <w:spacing w:line="319" w:lineRule="auto" w:after="40"/>
        <w:jc w:val="both"/>
      </w:pPr>
      <w:r>
        <w:rPr>
          <w:rFonts w:ascii="Times New Roman" w:hAnsi="Times New Roman" w:eastAsia="SimSun"/>
          <w:b w:val="0"/>
          <w:sz w:val="24"/>
        </w:rPr>
        <w:t>【执行事务合伙人】（盖章），委派代表／授权代表签字：【●】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【转让方】（盖章／签字）：【●】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【其他合伙人】（盖章／签字）：【●】</w:t>
      </w:r>
    </w:p>
    <w:p>
      <w:pPr>
        <w:spacing w:line="319" w:lineRule="auto" w:after="40"/>
        <w:jc w:val="both"/>
      </w:pPr>
      <w:r>
        <w:rPr>
          <w:rFonts w:ascii="Times New Roman" w:hAnsi="Times New Roman" w:eastAsia="SimSun"/>
          <w:b w:val="0"/>
          <w:sz w:val="24"/>
        </w:rPr>
        <w:t>签署日期：【●】年【●】月【●】日</w:t>
      </w:r>
    </w:p>
    <w:p>
      <w:pPr>
        <w:spacing w:line="341" w:lineRule="auto" w:before="200" w:after="120"/>
      </w:pPr>
      <w:r>
        <w:rPr>
          <w:rFonts w:ascii="Times New Roman" w:hAnsi="Times New Roman" w:eastAsia="SimHei"/>
          <w:b/>
          <w:sz w:val="28"/>
        </w:rPr>
        <w:t>附件</w:t>
      </w:r>
    </w:p>
    <w:p>
      <w:pPr>
        <w:spacing w:line="319" w:lineRule="auto" w:after="40"/>
        <w:jc w:val="both"/>
      </w:pPr>
      <w:r>
        <w:rPr>
          <w:rFonts w:ascii="Times New Roman" w:hAnsi="Times New Roman" w:eastAsia="SimSun"/>
          <w:b w:val="0"/>
          <w:sz w:val="24"/>
        </w:rPr>
        <w:t>附件一：现有合伙人名录</w:t>
      </w:r>
    </w:p>
    <w:p>
      <w:pPr>
        <w:spacing w:line="319" w:lineRule="auto" w:after="40"/>
        <w:jc w:val="both"/>
      </w:pPr>
      <w:r>
        <w:rPr>
          <w:rFonts w:ascii="Times New Roman" w:hAnsi="Times New Roman" w:eastAsia="SimSun"/>
          <w:b w:val="0"/>
          <w:sz w:val="24"/>
        </w:rPr>
        <w:t>附件二：已交付资料清单</w:t>
      </w:r>
    </w:p>
    <w:tbl>
      <w:tblPr>
        <w:tblStyle w:val="TableGrid"/>
        <w:tblW w:type="auto" w:w="0"/>
        <w:tblLook w:firstColumn="1" w:firstRow="1" w:lastColumn="0" w:lastRow="0" w:noHBand="0" w:noVBand="1" w:val="04A0"/>
      </w:tblPr>
      <w:tblGrid>
        <w:gridCol w:w="1872"/>
        <w:gridCol w:w="1872"/>
        <w:gridCol w:w="1872"/>
        <w:gridCol w:w="1872"/>
        <w:gridCol w:w="1872"/>
      </w:tblGrid>
      <w:tr>
        <w:tc>
          <w:tcPr>
            <w:tcW w:type="dxa" w:w="1872"/>
          </w:tcPr>
          <w:p>
            <w:pPr>
              <w:spacing w:line="288" w:lineRule="auto"/>
            </w:pPr>
            <w:r/>
            <w:r>
              <w:rPr>
                <w:rFonts w:ascii="Times New Roman" w:hAnsi="Times New Roman" w:eastAsia="SimHei"/>
                <w:b/>
                <w:sz w:val="21"/>
              </w:rPr>
              <w:t>序号</w:t>
            </w:r>
          </w:p>
        </w:tc>
        <w:tc>
          <w:tcPr>
            <w:tcW w:type="dxa" w:w="1872"/>
          </w:tcPr>
          <w:p>
            <w:pPr>
              <w:spacing w:line="288" w:lineRule="auto"/>
            </w:pPr>
            <w:r/>
            <w:r>
              <w:rPr>
                <w:rFonts w:ascii="Times New Roman" w:hAnsi="Times New Roman" w:eastAsia="SimHei"/>
                <w:b/>
                <w:sz w:val="21"/>
              </w:rPr>
              <w:t>资料名称</w:t>
            </w:r>
          </w:p>
        </w:tc>
        <w:tc>
          <w:tcPr>
            <w:tcW w:type="dxa" w:w="1872"/>
          </w:tcPr>
          <w:p>
            <w:pPr>
              <w:spacing w:line="288" w:lineRule="auto"/>
            </w:pPr>
            <w:r/>
            <w:r>
              <w:rPr>
                <w:rFonts w:ascii="Times New Roman" w:hAnsi="Times New Roman" w:eastAsia="SimHei"/>
                <w:b/>
                <w:sz w:val="21"/>
              </w:rPr>
              <w:t>载体形式</w:t>
            </w:r>
          </w:p>
        </w:tc>
        <w:tc>
          <w:tcPr>
            <w:tcW w:type="dxa" w:w="1872"/>
          </w:tcPr>
          <w:p>
            <w:pPr>
              <w:spacing w:line="288" w:lineRule="auto"/>
            </w:pPr>
            <w:r/>
            <w:r>
              <w:rPr>
                <w:rFonts w:ascii="Times New Roman" w:hAnsi="Times New Roman" w:eastAsia="SimHei"/>
                <w:b/>
                <w:sz w:val="21"/>
              </w:rPr>
              <w:t>交付日期</w:t>
            </w:r>
          </w:p>
        </w:tc>
        <w:tc>
          <w:tcPr>
            <w:tcW w:type="dxa" w:w="1872"/>
          </w:tcPr>
          <w:p>
            <w:pPr>
              <w:spacing w:line="288" w:lineRule="auto"/>
            </w:pPr>
            <w:r/>
            <w:r>
              <w:rPr>
                <w:rFonts w:ascii="Times New Roman" w:hAnsi="Times New Roman" w:eastAsia="SimHei"/>
                <w:b/>
                <w:sz w:val="21"/>
              </w:rPr>
              <w:t>接收确认</w:t>
            </w:r>
          </w:p>
        </w:tc>
      </w:tr>
      <w:tr>
        <w:tc>
          <w:tcPr>
            <w:tcW w:type="dxa" w:w="1872"/>
          </w:tcPr>
          <w:p>
            <w:pPr>
              <w:spacing w:line="288" w:lineRule="auto"/>
            </w:pPr>
            <w:r/>
            <w:r>
              <w:rPr>
                <w:rFonts w:ascii="Times New Roman" w:hAnsi="Times New Roman" w:eastAsia="SimSun"/>
                <w:b w:val="0"/>
                <w:sz w:val="21"/>
              </w:rPr>
              <w:t>1</w:t>
            </w:r>
          </w:p>
        </w:tc>
        <w:tc>
          <w:tcPr>
            <w:tcW w:type="dxa" w:w="1872"/>
          </w:tcPr>
          <w:p>
            <w:pPr>
              <w:spacing w:line="288" w:lineRule="auto"/>
            </w:pPr>
            <w:r/>
            <w:r>
              <w:rPr>
                <w:rFonts w:ascii="Times New Roman" w:hAnsi="Times New Roman" w:eastAsia="SimSun"/>
                <w:b w:val="0"/>
                <w:sz w:val="21"/>
              </w:rPr>
              <w:t>合伙协议及历次修正案、基金合同文件</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【●】年【●】月【●】日</w:t>
            </w:r>
          </w:p>
        </w:tc>
        <w:tc>
          <w:tcPr>
            <w:tcW w:type="dxa" w:w="1872"/>
          </w:tcPr>
          <w:p>
            <w:pPr>
              <w:spacing w:line="288" w:lineRule="auto"/>
            </w:pPr>
            <w:r/>
            <w:r>
              <w:rPr>
                <w:rFonts w:ascii="Times New Roman" w:hAnsi="Times New Roman" w:eastAsia="SimSun"/>
                <w:b w:val="0"/>
                <w:sz w:val="21"/>
              </w:rPr>
            </w:r>
          </w:p>
        </w:tc>
      </w:tr>
      <w:tr>
        <w:tc>
          <w:tcPr>
            <w:tcW w:type="dxa" w:w="1872"/>
          </w:tcPr>
          <w:p>
            <w:pPr>
              <w:spacing w:line="288" w:lineRule="auto"/>
            </w:pPr>
            <w:r/>
            <w:r>
              <w:rPr>
                <w:rFonts w:ascii="Times New Roman" w:hAnsi="Times New Roman" w:eastAsia="SimSun"/>
                <w:b w:val="0"/>
                <w:sz w:val="21"/>
              </w:rPr>
              <w:t>2</w:t>
            </w:r>
          </w:p>
        </w:tc>
        <w:tc>
          <w:tcPr>
            <w:tcW w:type="dxa" w:w="1872"/>
          </w:tcPr>
          <w:p>
            <w:pPr>
              <w:spacing w:line="288" w:lineRule="auto"/>
            </w:pPr>
            <w:r/>
            <w:r>
              <w:rPr>
                <w:rFonts w:ascii="Times New Roman" w:hAnsi="Times New Roman" w:eastAsia="SimSun"/>
                <w:b w:val="0"/>
                <w:sz w:val="21"/>
              </w:rPr>
              <w:t>【基金】最近一期财务报表</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【●】年【●】月【●】日</w:t>
            </w:r>
          </w:p>
        </w:tc>
        <w:tc>
          <w:tcPr>
            <w:tcW w:type="dxa" w:w="1872"/>
          </w:tcPr>
          <w:p>
            <w:pPr>
              <w:spacing w:line="288" w:lineRule="auto"/>
            </w:pPr>
            <w:r/>
            <w:r>
              <w:rPr>
                <w:rFonts w:ascii="Times New Roman" w:hAnsi="Times New Roman" w:eastAsia="SimSun"/>
                <w:b w:val="0"/>
                <w:sz w:val="21"/>
              </w:rPr>
            </w:r>
          </w:p>
        </w:tc>
      </w:tr>
      <w:tr>
        <w:tc>
          <w:tcPr>
            <w:tcW w:type="dxa" w:w="1872"/>
          </w:tcPr>
          <w:p>
            <w:pPr>
              <w:spacing w:line="288" w:lineRule="auto"/>
            </w:pPr>
            <w:r/>
            <w:r>
              <w:rPr>
                <w:rFonts w:ascii="Times New Roman" w:hAnsi="Times New Roman" w:eastAsia="SimSun"/>
                <w:b w:val="0"/>
                <w:sz w:val="21"/>
              </w:rPr>
              <w:t>3</w:t>
            </w:r>
          </w:p>
        </w:tc>
        <w:tc>
          <w:tcPr>
            <w:tcW w:type="dxa" w:w="1872"/>
          </w:tcPr>
          <w:p>
            <w:pPr>
              <w:spacing w:line="288" w:lineRule="auto"/>
            </w:pPr>
            <w:r/>
            <w:r>
              <w:rPr>
                <w:rFonts w:ascii="Times New Roman" w:hAnsi="Times New Roman" w:eastAsia="SimSun"/>
                <w:b w:val="0"/>
                <w:sz w:val="21"/>
              </w:rPr>
              <w:t>对外债务、对外担保及或有负债说明</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【●】年【●】月【●】日</w:t>
            </w:r>
          </w:p>
        </w:tc>
        <w:tc>
          <w:tcPr>
            <w:tcW w:type="dxa" w:w="1872"/>
          </w:tcPr>
          <w:p>
            <w:pPr>
              <w:spacing w:line="288" w:lineRule="auto"/>
            </w:pPr>
            <w:r/>
            <w:r>
              <w:rPr>
                <w:rFonts w:ascii="Times New Roman" w:hAnsi="Times New Roman" w:eastAsia="SimSun"/>
                <w:b w:val="0"/>
                <w:sz w:val="21"/>
              </w:rPr>
            </w:r>
          </w:p>
        </w:tc>
      </w:tr>
      <w:tr>
        <w:tc>
          <w:tcPr>
            <w:tcW w:type="dxa" w:w="1872"/>
          </w:tcPr>
          <w:p>
            <w:pPr>
              <w:spacing w:line="288" w:lineRule="auto"/>
            </w:pPr>
            <w:r/>
            <w:r>
              <w:rPr>
                <w:rFonts w:ascii="Times New Roman" w:hAnsi="Times New Roman" w:eastAsia="SimSun"/>
                <w:b w:val="0"/>
                <w:sz w:val="21"/>
              </w:rPr>
              <w:t>4</w:t>
            </w:r>
          </w:p>
        </w:tc>
        <w:tc>
          <w:tcPr>
            <w:tcW w:type="dxa" w:w="1872"/>
          </w:tcPr>
          <w:p>
            <w:pPr>
              <w:spacing w:line="288" w:lineRule="auto"/>
            </w:pPr>
            <w:r/>
            <w:r>
              <w:rPr>
                <w:rFonts w:ascii="Times New Roman" w:hAnsi="Times New Roman" w:eastAsia="SimSun"/>
                <w:b w:val="0"/>
                <w:sz w:val="21"/>
              </w:rPr>
              <w:t>涉诉、涉仲及行政处罚情况说明</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【●】年【●】月【●】日</w:t>
            </w:r>
          </w:p>
        </w:tc>
        <w:tc>
          <w:tcPr>
            <w:tcW w:type="dxa" w:w="1872"/>
          </w:tcPr>
          <w:p>
            <w:pPr>
              <w:spacing w:line="288" w:lineRule="auto"/>
            </w:pPr>
            <w:r/>
            <w:r>
              <w:rPr>
                <w:rFonts w:ascii="Times New Roman" w:hAnsi="Times New Roman" w:eastAsia="SimSun"/>
                <w:b w:val="0"/>
                <w:sz w:val="21"/>
              </w:rPr>
            </w:r>
          </w:p>
        </w:tc>
      </w:tr>
      <w:tr>
        <w:tc>
          <w:tcPr>
            <w:tcW w:type="dxa" w:w="1872"/>
          </w:tcPr>
          <w:p>
            <w:pPr>
              <w:spacing w:line="288" w:lineRule="auto"/>
            </w:pPr>
            <w:r/>
            <w:r>
              <w:rPr>
                <w:rFonts w:ascii="Times New Roman" w:hAnsi="Times New Roman" w:eastAsia="SimSun"/>
                <w:b w:val="0"/>
                <w:sz w:val="21"/>
              </w:rPr>
              <w:t>5</w:t>
            </w:r>
          </w:p>
        </w:tc>
        <w:tc>
          <w:tcPr>
            <w:tcW w:type="dxa" w:w="1872"/>
          </w:tcPr>
          <w:p>
            <w:pPr>
              <w:spacing w:line="288" w:lineRule="auto"/>
            </w:pPr>
            <w:r/>
            <w:r>
              <w:rPr>
                <w:rFonts w:ascii="Times New Roman" w:hAnsi="Times New Roman" w:eastAsia="SimSun"/>
                <w:b w:val="0"/>
                <w:sz w:val="21"/>
              </w:rPr>
              <w:t>底层投资组合清单及投资确权资料</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【●】年【●】月【●】日</w:t>
            </w:r>
          </w:p>
        </w:tc>
        <w:tc>
          <w:tcPr>
            <w:tcW w:type="dxa" w:w="1872"/>
          </w:tcPr>
          <w:p>
            <w:pPr>
              <w:spacing w:line="288" w:lineRule="auto"/>
            </w:pPr>
            <w:r/>
            <w:r>
              <w:rPr>
                <w:rFonts w:ascii="Times New Roman" w:hAnsi="Times New Roman" w:eastAsia="SimSun"/>
                <w:b w:val="0"/>
                <w:sz w:val="21"/>
              </w:rPr>
            </w:r>
          </w:p>
        </w:tc>
      </w:tr>
      <w:tr>
        <w:tc>
          <w:tcPr>
            <w:tcW w:type="dxa" w:w="1872"/>
          </w:tcPr>
          <w:p>
            <w:pPr>
              <w:spacing w:line="288" w:lineRule="auto"/>
            </w:pPr>
            <w:r/>
            <w:r>
              <w:rPr>
                <w:rFonts w:ascii="Times New Roman" w:hAnsi="Times New Roman" w:eastAsia="SimSun"/>
                <w:b w:val="0"/>
                <w:sz w:val="21"/>
              </w:rPr>
              <w:t>6</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w:t>
            </w:r>
          </w:p>
        </w:tc>
        <w:tc>
          <w:tcPr>
            <w:tcW w:type="dxa" w:w="1872"/>
          </w:tcPr>
          <w:p>
            <w:pPr>
              <w:spacing w:line="288" w:lineRule="auto"/>
            </w:pPr>
            <w:r/>
            <w:r>
              <w:rPr>
                <w:rFonts w:ascii="Times New Roman" w:hAnsi="Times New Roman" w:eastAsia="SimSun"/>
                <w:b w:val="0"/>
                <w:sz w:val="21"/>
              </w:rPr>
              <w:t>【●】年【●】月【●】日</w:t>
            </w:r>
          </w:p>
        </w:tc>
        <w:tc>
          <w:tcPr>
            <w:tcW w:type="dxa" w:w="1872"/>
          </w:tcPr>
          <w:p>
            <w:pPr>
              <w:spacing w:line="288" w:lineRule="auto"/>
            </w:pPr>
            <w:r/>
            <w:r>
              <w:rPr>
                <w:rFonts w:ascii="Times New Roman" w:hAnsi="Times New Roman" w:eastAsia="SimSun"/>
                <w:b w:val="0"/>
                <w:sz w:val="21"/>
              </w:rPr>
            </w:r>
          </w:p>
        </w:tc>
      </w:tr>
    </w:tbl>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05_入伙协议（受让方入伙）</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