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240"/>
        <w:jc w:val="center"/>
      </w:pPr>
      <w:r>
        <w:rPr>
          <w:rFonts w:ascii="Times New Roman" w:hAnsi="Times New Roman" w:eastAsia="SimHei"/>
          <w:b/>
          <w:sz w:val="36"/>
        </w:rPr>
        <w:t>普通合伙人（GP）份额转让协议</w:t>
      </w:r>
    </w:p>
    <w:p>
      <w:pPr>
        <w:spacing w:line="360" w:lineRule="auto" w:after="200"/>
        <w:jc w:val="center"/>
      </w:pPr>
      <w:r>
        <w:rPr>
          <w:rFonts w:ascii="Times New Roman" w:hAnsi="Times New Roman" w:eastAsia="SimSun"/>
          <w:b w:val="0"/>
          <w:sz w:val="28"/>
        </w:rPr>
        <w:t>（示范文本）</w:t>
      </w:r>
    </w:p>
    <w:p>
      <w:pPr>
        <w:spacing w:line="300" w:lineRule="auto" w:after="60"/>
        <w:jc w:val="both"/>
      </w:pPr>
      <w:r>
        <w:rPr>
          <w:rFonts w:ascii="Times New Roman" w:hAnsi="Times New Roman" w:eastAsia="SimSun"/>
          <w:b w:val="0"/>
          <w:color w:val="7F7F7F"/>
          <w:sz w:val="21"/>
        </w:rPr>
        <w:t>【拟稿注：本协议适用于合伙型私募基金（有限合伙企业，已在中国证券投资基金业协会备案）的普通合伙人向合伙人以外的第三方转让其财产份额的场景，为三方架构：【转让方】（普通合伙人）、【受让方】、【基金】（确认方）。【基金】由【执行事务合伙人】代表签署；如【转让方】本身即为执行事务合伙人，应由其他普通合伙人或按合伙协议确定的代表代表【基金】签署，避免自我确认。本协议应与本包03号决定书（同意转让及放弃优先购买权）、06号合伙协议修正案、09号尽职调查清单配套使用；如本次转让同时导致私募基金管理人变更，还应叠加履行本包10号、11号文件项下的投资者会议程序——份额转让的合伙法同意程序与变更管理人的投资者会议程序是两道独立程序，相互叠加、不可替代。】</w:t>
      </w:r>
    </w:p>
    <w:p>
      <w:pPr>
        <w:spacing w:line="319" w:lineRule="auto" w:after="40"/>
        <w:jc w:val="both"/>
      </w:pPr>
      <w:r>
        <w:rPr>
          <w:rFonts w:ascii="Times New Roman" w:hAnsi="Times New Roman" w:eastAsia="SimSun"/>
          <w:b w:val="0"/>
          <w:sz w:val="24"/>
        </w:rPr>
        <w:t>【转让方】（普通合伙人）：【●】</w:t>
      </w:r>
    </w:p>
    <w:p>
      <w:pPr>
        <w:spacing w:line="319" w:lineRule="auto" w:after="40"/>
        <w:jc w:val="both"/>
      </w:pPr>
      <w:r>
        <w:rPr>
          <w:rFonts w:ascii="Times New Roman" w:hAnsi="Times New Roman" w:eastAsia="SimSun"/>
          <w:b w:val="0"/>
          <w:sz w:val="24"/>
        </w:rPr>
        <w:t>统一社会信用代码/身份证号：【●】</w:t>
      </w:r>
    </w:p>
    <w:p>
      <w:pPr>
        <w:spacing w:line="319" w:lineRule="auto" w:after="40"/>
        <w:jc w:val="both"/>
      </w:pPr>
      <w:r>
        <w:rPr>
          <w:rFonts w:ascii="Times New Roman" w:hAnsi="Times New Roman" w:eastAsia="SimSun"/>
          <w:b w:val="0"/>
          <w:sz w:val="24"/>
        </w:rPr>
        <w:t>住所：【●】</w:t>
      </w:r>
    </w:p>
    <w:p>
      <w:pPr>
        <w:spacing w:line="319" w:lineRule="auto" w:after="40"/>
        <w:jc w:val="both"/>
      </w:pPr>
      <w:r>
        <w:rPr>
          <w:rFonts w:ascii="Times New Roman" w:hAnsi="Times New Roman" w:eastAsia="SimSun"/>
          <w:b w:val="0"/>
          <w:sz w:val="24"/>
        </w:rPr>
        <w:t>联系电话：【●】</w:t>
      </w:r>
    </w:p>
    <w:p>
      <w:pPr>
        <w:spacing w:line="319" w:lineRule="auto" w:after="40"/>
        <w:jc w:val="both"/>
      </w:pPr>
      <w:r>
        <w:rPr>
          <w:rFonts w:ascii="Times New Roman" w:hAnsi="Times New Roman" w:eastAsia="SimSun"/>
          <w:b w:val="0"/>
          <w:sz w:val="24"/>
        </w:rPr>
        <w:t>电子邮箱：【●】</w:t>
      </w:r>
    </w:p>
    <w:p>
      <w:pPr>
        <w:spacing w:line="319" w:lineRule="auto" w:after="40"/>
        <w:jc w:val="both"/>
      </w:pPr>
      <w:r>
        <w:rPr>
          <w:rFonts w:ascii="Times New Roman" w:hAnsi="Times New Roman" w:eastAsia="SimSun"/>
          <w:b w:val="0"/>
          <w:sz w:val="24"/>
        </w:rPr>
        <w:t>【受让方】：【●】</w:t>
      </w:r>
    </w:p>
    <w:p>
      <w:pPr>
        <w:spacing w:line="319" w:lineRule="auto" w:after="40"/>
        <w:jc w:val="both"/>
      </w:pPr>
      <w:r>
        <w:rPr>
          <w:rFonts w:ascii="Times New Roman" w:hAnsi="Times New Roman" w:eastAsia="SimSun"/>
          <w:b w:val="0"/>
          <w:sz w:val="24"/>
        </w:rPr>
        <w:t>统一社会信用代码/身份证号：【●】</w:t>
      </w:r>
    </w:p>
    <w:p>
      <w:pPr>
        <w:spacing w:line="319" w:lineRule="auto" w:after="40"/>
        <w:jc w:val="both"/>
      </w:pPr>
      <w:r>
        <w:rPr>
          <w:rFonts w:ascii="Times New Roman" w:hAnsi="Times New Roman" w:eastAsia="SimSun"/>
          <w:b w:val="0"/>
          <w:sz w:val="24"/>
        </w:rPr>
        <w:t>住所：【●】</w:t>
      </w:r>
    </w:p>
    <w:p>
      <w:pPr>
        <w:spacing w:line="319" w:lineRule="auto" w:after="40"/>
        <w:jc w:val="both"/>
      </w:pPr>
      <w:r>
        <w:rPr>
          <w:rFonts w:ascii="Times New Roman" w:hAnsi="Times New Roman" w:eastAsia="SimSun"/>
          <w:b w:val="0"/>
          <w:sz w:val="24"/>
        </w:rPr>
        <w:t>联系电话：【●】</w:t>
      </w:r>
    </w:p>
    <w:p>
      <w:pPr>
        <w:spacing w:line="319" w:lineRule="auto" w:after="40"/>
        <w:jc w:val="both"/>
      </w:pPr>
      <w:r>
        <w:rPr>
          <w:rFonts w:ascii="Times New Roman" w:hAnsi="Times New Roman" w:eastAsia="SimSun"/>
          <w:b w:val="0"/>
          <w:sz w:val="24"/>
        </w:rPr>
        <w:t>电子邮箱：【●】</w:t>
      </w:r>
    </w:p>
    <w:p>
      <w:pPr>
        <w:spacing w:line="319" w:lineRule="auto" w:after="40"/>
        <w:jc w:val="both"/>
      </w:pPr>
      <w:r>
        <w:rPr>
          <w:rFonts w:ascii="Times New Roman" w:hAnsi="Times New Roman" w:eastAsia="SimSun"/>
          <w:b w:val="0"/>
          <w:sz w:val="24"/>
        </w:rPr>
        <w:t>【基金】（确认方）：【●】（有限合伙）</w:t>
      </w:r>
    </w:p>
    <w:p>
      <w:pPr>
        <w:spacing w:line="319" w:lineRule="auto" w:after="40"/>
        <w:jc w:val="both"/>
      </w:pPr>
      <w:r>
        <w:rPr>
          <w:rFonts w:ascii="Times New Roman" w:hAnsi="Times New Roman" w:eastAsia="SimSun"/>
          <w:b w:val="0"/>
          <w:sz w:val="24"/>
        </w:rPr>
        <w:t>统一社会信用代码：【●】</w:t>
      </w:r>
    </w:p>
    <w:p>
      <w:pPr>
        <w:spacing w:line="319" w:lineRule="auto" w:after="40"/>
        <w:jc w:val="both"/>
      </w:pPr>
      <w:r>
        <w:rPr>
          <w:rFonts w:ascii="Times New Roman" w:hAnsi="Times New Roman" w:eastAsia="SimSun"/>
          <w:b w:val="0"/>
          <w:sz w:val="24"/>
        </w:rPr>
        <w:t>住所：【●】</w:t>
      </w:r>
    </w:p>
    <w:p>
      <w:pPr>
        <w:spacing w:line="319" w:lineRule="auto" w:after="40"/>
        <w:jc w:val="both"/>
      </w:pPr>
      <w:r>
        <w:rPr>
          <w:rFonts w:ascii="Times New Roman" w:hAnsi="Times New Roman" w:eastAsia="SimSun"/>
          <w:b w:val="0"/>
          <w:sz w:val="24"/>
        </w:rPr>
        <w:t>执行事务合伙人（或按合伙协议确定的代表）：【●】</w:t>
      </w:r>
    </w:p>
    <w:p>
      <w:pPr>
        <w:spacing w:line="319" w:lineRule="auto" w:after="40"/>
        <w:jc w:val="both"/>
      </w:pPr>
      <w:r>
        <w:rPr>
          <w:rFonts w:ascii="Times New Roman" w:hAnsi="Times New Roman" w:eastAsia="SimSun"/>
          <w:b w:val="0"/>
          <w:sz w:val="24"/>
        </w:rPr>
        <w:t>联系电话：【●】</w:t>
      </w:r>
    </w:p>
    <w:p>
      <w:pPr>
        <w:spacing w:line="319" w:lineRule="auto" w:after="40"/>
        <w:jc w:val="both"/>
      </w:pPr>
      <w:r>
        <w:rPr>
          <w:rFonts w:ascii="Times New Roman" w:hAnsi="Times New Roman" w:eastAsia="SimSun"/>
          <w:b w:val="0"/>
          <w:sz w:val="24"/>
        </w:rPr>
        <w:t>电子邮箱：【●】</w:t>
      </w:r>
    </w:p>
    <w:p>
      <w:pPr>
        <w:spacing w:line="300" w:lineRule="auto" w:after="60"/>
        <w:jc w:val="both"/>
      </w:pPr>
      <w:r>
        <w:rPr>
          <w:rFonts w:ascii="Times New Roman" w:hAnsi="Times New Roman" w:eastAsia="SimSun"/>
          <w:b w:val="0"/>
          <w:color w:val="7F7F7F"/>
          <w:sz w:val="21"/>
        </w:rPr>
        <w:t>【拟稿注：如【转让方】即【基金】的执行事务合伙人，本栏及签署页均应改由其他普通合伙人或按合伙协议确定的代表代表【基金】签署，并在签署页注明其代表权来源（合伙协议条款或全体合伙人决定）。】</w:t>
      </w:r>
    </w:p>
    <w:p>
      <w:pPr>
        <w:spacing w:line="319" w:lineRule="auto" w:after="40"/>
        <w:jc w:val="both"/>
      </w:pPr>
      <w:r>
        <w:rPr>
          <w:rFonts w:ascii="Times New Roman" w:hAnsi="Times New Roman" w:eastAsia="SimSun"/>
          <w:b w:val="0"/>
          <w:sz w:val="24"/>
        </w:rPr>
        <w:t>鉴于：</w:t>
      </w:r>
    </w:p>
    <w:p>
      <w:pPr>
        <w:spacing w:line="319" w:lineRule="auto" w:after="40"/>
        <w:jc w:val="both"/>
      </w:pPr>
      <w:r>
        <w:rPr>
          <w:rFonts w:ascii="Times New Roman" w:hAnsi="Times New Roman" w:eastAsia="SimSun"/>
          <w:b w:val="0"/>
          <w:sz w:val="24"/>
        </w:rPr>
        <w:t>1、【基金】系依法设立并存续的有限合伙企业，已在中国证券投资基金业协会办理私募投资基金备案，备案编码为【●】；</w:t>
      </w:r>
    </w:p>
    <w:p>
      <w:pPr>
        <w:spacing w:line="319" w:lineRule="auto" w:after="40"/>
        <w:jc w:val="both"/>
      </w:pPr>
      <w:r>
        <w:rPr>
          <w:rFonts w:ascii="Times New Roman" w:hAnsi="Times New Roman" w:eastAsia="SimSun"/>
          <w:b w:val="0"/>
          <w:sz w:val="24"/>
        </w:rPr>
        <w:t>2、【转让方】系【基金】的普通合伙人，持有【基金】认缴出资【●】元（其中实缴出资【●】元）对应的普通合伙人财产份额；</w:t>
      </w:r>
    </w:p>
    <w:p>
      <w:pPr>
        <w:spacing w:line="319" w:lineRule="auto" w:after="40"/>
        <w:jc w:val="both"/>
      </w:pPr>
      <w:r>
        <w:rPr>
          <w:rFonts w:ascii="Times New Roman" w:hAnsi="Times New Roman" w:eastAsia="SimSun"/>
          <w:b w:val="0"/>
          <w:sz w:val="24"/>
        </w:rPr>
        <w:t>3、【转让方】拟将其持有的前述财产份额转让给【受让方】，【受让方】拟受让该等份额并在完成合伙协议修改后成为【基金】的普通合伙人；</w:t>
      </w:r>
    </w:p>
    <w:p>
      <w:pPr>
        <w:spacing w:line="319" w:lineRule="auto" w:after="40"/>
        <w:jc w:val="both"/>
      </w:pPr>
      <w:r>
        <w:rPr>
          <w:rFonts w:ascii="Times New Roman" w:hAnsi="Times New Roman" w:eastAsia="SimSun"/>
          <w:b w:val="0"/>
          <w:sz w:val="24"/>
        </w:rPr>
        <w:t>4、各方知悉本次转让须履行《中华人民共和国合伙企业法》及【基金】合伙协议约定的同意、优先购买权及入伙程序。</w:t>
      </w:r>
    </w:p>
    <w:p>
      <w:pPr>
        <w:spacing w:line="319" w:lineRule="auto" w:after="40"/>
        <w:jc w:val="both"/>
      </w:pPr>
      <w:r>
        <w:rPr>
          <w:rFonts w:ascii="Times New Roman" w:hAnsi="Times New Roman" w:eastAsia="SimSun"/>
          <w:b w:val="0"/>
          <w:sz w:val="24"/>
        </w:rPr>
        <w:t>经各方协商一致，订立本协议：</w:t>
      </w:r>
    </w:p>
    <w:p>
      <w:pPr>
        <w:spacing w:line="341" w:lineRule="auto" w:before="200" w:after="120"/>
      </w:pPr>
      <w:r>
        <w:rPr>
          <w:rFonts w:ascii="Times New Roman" w:hAnsi="Times New Roman" w:eastAsia="SimHei"/>
          <w:b/>
          <w:sz w:val="28"/>
        </w:rPr>
        <w:t>第一条　定义与解释</w:t>
      </w:r>
    </w:p>
    <w:p>
      <w:pPr>
        <w:spacing w:line="319" w:lineRule="auto" w:after="40"/>
        <w:jc w:val="both"/>
      </w:pPr>
      <w:r>
        <w:rPr>
          <w:rFonts w:ascii="Times New Roman" w:hAnsi="Times New Roman" w:eastAsia="SimSun"/>
          <w:b w:val="0"/>
          <w:sz w:val="24"/>
        </w:rPr>
        <w:t>1、标的份额：指【转让方】持有的【基金】认缴出资【●】元（其中实缴出资【●】元、未实缴出资【●】元）所对应的普通合伙人财产份额，及附随于该等份额的全部权利义务，包括但不限于利润分配权、剩余财产分配权、表决权、知情权以及未实缴部分的后续出资义务。</w:t>
      </w:r>
    </w:p>
    <w:p>
      <w:pPr>
        <w:spacing w:line="319" w:lineRule="auto" w:after="40"/>
        <w:jc w:val="both"/>
      </w:pPr>
      <w:r>
        <w:rPr>
          <w:rFonts w:ascii="Times New Roman" w:hAnsi="Times New Roman" w:eastAsia="SimSun"/>
          <w:b w:val="0"/>
          <w:sz w:val="24"/>
        </w:rPr>
        <w:t>2、普通合伙人身份与执行事务合伙人职务：本协议处理的是标的份额转让及普通合伙人资格承接；【受让方】能否担任【基金】执行事务合伙人，须按合伙协议约定另行经选任程序确定，不因受让标的份额而当然取得。</w:t>
      </w:r>
    </w:p>
    <w:p>
      <w:pPr>
        <w:spacing w:line="300" w:lineRule="auto" w:after="60"/>
        <w:jc w:val="both"/>
      </w:pPr>
      <w:r>
        <w:rPr>
          <w:rFonts w:ascii="Times New Roman" w:hAnsi="Times New Roman" w:eastAsia="SimSun"/>
          <w:b w:val="0"/>
          <w:color w:val="7F7F7F"/>
          <w:sz w:val="21"/>
        </w:rPr>
        <w:t>【拟稿注：执行事务合伙人职务变更须按合伙协议约定另经选任程序（有限合伙企业由普通合伙人执行合伙事务，《合伙企业法》第六十七条），本协议仅处理财产份额。如交易安排要求受让方同步接任执行事务合伙人职务，应在合伙协议修正案及相应决议中一并明确选任事项，并同步办理工商登记及委派代表（《合伙企业法》第二十六条第三款）变更。】</w:t>
      </w:r>
    </w:p>
    <w:p>
      <w:pPr>
        <w:spacing w:line="319" w:lineRule="auto" w:after="40"/>
        <w:jc w:val="both"/>
      </w:pPr>
      <w:r>
        <w:rPr>
          <w:rFonts w:ascii="Times New Roman" w:hAnsi="Times New Roman" w:eastAsia="SimSun"/>
          <w:b w:val="0"/>
          <w:sz w:val="24"/>
        </w:rPr>
        <w:t>3、交割日：指本协议第二条先决条件全部成就（或经受益方书面豁免）之日后第【●】个工作日，或各方书面确认的其他日期。</w:t>
      </w:r>
    </w:p>
    <w:p>
      <w:pPr>
        <w:spacing w:line="319" w:lineRule="auto" w:after="40"/>
        <w:jc w:val="both"/>
      </w:pPr>
      <w:r>
        <w:rPr>
          <w:rFonts w:ascii="Times New Roman" w:hAnsi="Times New Roman" w:eastAsia="SimSun"/>
          <w:b w:val="0"/>
          <w:sz w:val="24"/>
        </w:rPr>
        <w:t>4、变更登记日：指【基金】就本次转让完成市场主体变更登记之日。</w:t>
      </w:r>
    </w:p>
    <w:p>
      <w:pPr>
        <w:spacing w:line="300" w:lineRule="auto" w:after="60"/>
        <w:jc w:val="both"/>
      </w:pPr>
      <w:r>
        <w:rPr>
          <w:rFonts w:ascii="Times New Roman" w:hAnsi="Times New Roman" w:eastAsia="SimSun"/>
          <w:b w:val="0"/>
          <w:color w:val="7F7F7F"/>
          <w:sz w:val="21"/>
        </w:rPr>
        <w:t>【拟稿注：依《私募投资基金备案指引第2号——私募股权、创业投资基金》第三十五条第（七）项，需办理市场主体变更登记的，变更之日指市场主体变更登记之日；无需办理的，指相关协议或者决议生效之日。向中国证券投资基金业协会履行变更手续的10个工作日期限自该变更之日起算，本协议以变更登记日为起算点。】</w:t>
      </w:r>
    </w:p>
    <w:p>
      <w:pPr>
        <w:spacing w:line="319" w:lineRule="auto" w:after="40"/>
        <w:jc w:val="both"/>
      </w:pPr>
      <w:r>
        <w:rPr>
          <w:rFonts w:ascii="Times New Roman" w:hAnsi="Times New Roman" w:eastAsia="SimSun"/>
          <w:b w:val="0"/>
          <w:sz w:val="24"/>
        </w:rPr>
        <w:t>5、合伙协议：指【基金】现行有效的合伙协议及其历次修正案。</w:t>
      </w:r>
    </w:p>
    <w:p>
      <w:pPr>
        <w:spacing w:line="341" w:lineRule="auto" w:before="200" w:after="120"/>
      </w:pPr>
      <w:r>
        <w:rPr>
          <w:rFonts w:ascii="Times New Roman" w:hAnsi="Times New Roman" w:eastAsia="SimHei"/>
          <w:b/>
          <w:sz w:val="28"/>
        </w:rPr>
        <w:t>第二条　先决条件</w:t>
      </w:r>
    </w:p>
    <w:p>
      <w:pPr>
        <w:spacing w:line="319" w:lineRule="auto" w:after="40"/>
        <w:jc w:val="both"/>
      </w:pPr>
      <w:r>
        <w:rPr>
          <w:rFonts w:ascii="Times New Roman" w:hAnsi="Times New Roman" w:eastAsia="SimSun"/>
          <w:b w:val="0"/>
          <w:sz w:val="24"/>
        </w:rPr>
        <w:t>本协议项下的交割，以下列条件全部成就（或经受益方书面豁免）为前提：</w:t>
      </w:r>
    </w:p>
    <w:p>
      <w:pPr>
        <w:spacing w:line="319" w:lineRule="auto" w:after="40"/>
        <w:jc w:val="both"/>
      </w:pPr>
      <w:r>
        <w:rPr>
          <w:rFonts w:ascii="Times New Roman" w:hAnsi="Times New Roman" w:eastAsia="SimSun"/>
          <w:b w:val="0"/>
          <w:sz w:val="24"/>
        </w:rPr>
        <w:t>1、【其他合伙人】已按《中华人民共和国合伙企业法》第二十二条或合伙协议约定的程序同意本次转让，并确认在同等条件下放弃《中华人民共和国合伙企业法》第二十三条项下的优先购买权（采用本包03号决定书）；</w:t>
      </w:r>
    </w:p>
    <w:p>
      <w:pPr>
        <w:spacing w:line="319" w:lineRule="auto" w:after="40"/>
        <w:jc w:val="both"/>
      </w:pPr>
      <w:r>
        <w:rPr>
          <w:rFonts w:ascii="Times New Roman" w:hAnsi="Times New Roman" w:eastAsia="SimSun"/>
          <w:b w:val="0"/>
          <w:sz w:val="24"/>
        </w:rPr>
        <w:t>2、全体合伙人已按《中华人民共和国合伙企业法》第十九条第二款、第二十四条完成合伙协议修改（采用本包06号合伙协议修正案），载明【受让方】成为【基金】普通合伙人及本次份额变动；</w:t>
      </w:r>
    </w:p>
    <w:p>
      <w:pPr>
        <w:spacing w:line="319" w:lineRule="auto" w:after="40"/>
        <w:jc w:val="both"/>
      </w:pPr>
      <w:r>
        <w:rPr>
          <w:rFonts w:ascii="Times New Roman" w:hAnsi="Times New Roman" w:eastAsia="SimSun"/>
          <w:b w:val="0"/>
          <w:sz w:val="24"/>
        </w:rPr>
        <w:t>3、【受让方】不存在《私募投资基金监督管理条例》第八条、第九条规定的情形，且已完成本包09号清单所列尽职调查程序，并已按本包08号文件完成合格投资者确认与风险揭示程序、取得管理人出具的适当性匹配意见；</w:t>
      </w:r>
    </w:p>
    <w:p>
      <w:pPr>
        <w:spacing w:line="319" w:lineRule="auto" w:after="40"/>
        <w:jc w:val="both"/>
      </w:pPr>
      <w:r>
        <w:rPr>
          <w:rFonts w:ascii="Times New Roman" w:hAnsi="Times New Roman" w:eastAsia="SimSun"/>
          <w:b w:val="0"/>
          <w:sz w:val="24"/>
        </w:rPr>
        <w:t>4、□适用　□不适用：本次转让导致私募基金管理人变更的，已按本包10号、11号文件完成投资者会议程序，取得持有三分之二以上基金份额的投资者同意（法律另有规定或基金合同另有约定的除外）（《私募投资基金备案指引第3号——私募投资基金变更管理人》第四条）；</w:t>
      </w:r>
    </w:p>
    <w:p>
      <w:pPr>
        <w:spacing w:line="319" w:lineRule="auto" w:after="40"/>
        <w:jc w:val="both"/>
      </w:pPr>
      <w:r>
        <w:rPr>
          <w:rFonts w:ascii="Times New Roman" w:hAnsi="Times New Roman" w:eastAsia="SimSun"/>
          <w:b w:val="0"/>
          <w:sz w:val="24"/>
        </w:rPr>
        <w:t>5、□适用　□不适用：【转让方】为国有及国有控股企业的，已按《企业国有资产交易监督管理办法》完成审计评估、内部决策与批准程序，并履行进场交易或非公开协议转让核准程序。</w:t>
      </w:r>
    </w:p>
    <w:p>
      <w:pPr>
        <w:spacing w:line="300" w:lineRule="auto" w:after="60"/>
        <w:jc w:val="both"/>
      </w:pPr>
      <w:r>
        <w:rPr>
          <w:rFonts w:ascii="Times New Roman" w:hAnsi="Times New Roman" w:eastAsia="SimSun"/>
          <w:b w:val="0"/>
          <w:color w:val="7F7F7F"/>
          <w:sz w:val="21"/>
        </w:rPr>
        <w:t>【拟稿注：第4项、第5项为勾选项，选定后删去未选支，空置的选择项在争议中可能被作不利解释。第5项须注意：合伙企业财产份额转让是否强制进场交易，各地国资监管口径不一，签约前应先向主管国资监管机构书面确认；如须进场，正式披露信息时间不得少于20个工作日（《企业国有资产交易监督管理办法》第十三条），符合该办法第三十一条规定情形的方可采取非公开协议转让。裁判实践中有案例认为，合伙协议对普通合伙人转让份额设置的限制条款有效，未按约定取得同意的转让合同不生效；全体合伙人共同签署的变更决定书可以证明同意转让并放弃优先购买权，故第1项、第2项程序文件必须于交割前实际取得并妥善留存。】</w:t>
      </w:r>
    </w:p>
    <w:p>
      <w:pPr>
        <w:spacing w:line="341" w:lineRule="auto" w:before="200" w:after="120"/>
      </w:pPr>
      <w:r>
        <w:rPr>
          <w:rFonts w:ascii="Times New Roman" w:hAnsi="Times New Roman" w:eastAsia="SimHei"/>
          <w:b/>
          <w:sz w:val="28"/>
        </w:rPr>
        <w:t>第三条　转让价款与支付</w:t>
      </w:r>
    </w:p>
    <w:p>
      <w:pPr>
        <w:spacing w:line="319" w:lineRule="auto" w:after="40"/>
        <w:jc w:val="both"/>
      </w:pPr>
      <w:r>
        <w:rPr>
          <w:rFonts w:ascii="Times New Roman" w:hAnsi="Times New Roman" w:eastAsia="SimSun"/>
          <w:b w:val="0"/>
          <w:sz w:val="24"/>
        </w:rPr>
        <w:t>1、标的份额的转让价款为人民币【●】元（大写：【●】）。</w:t>
      </w:r>
    </w:p>
    <w:p>
      <w:pPr>
        <w:spacing w:line="319" w:lineRule="auto" w:after="40"/>
        <w:jc w:val="both"/>
      </w:pPr>
      <w:r>
        <w:rPr>
          <w:rFonts w:ascii="Times New Roman" w:hAnsi="Times New Roman" w:eastAsia="SimSun"/>
          <w:b w:val="0"/>
          <w:sz w:val="24"/>
        </w:rPr>
        <w:t>2、价款支付方式（二选一）：</w:t>
      </w:r>
    </w:p>
    <w:p>
      <w:pPr>
        <w:spacing w:line="319" w:lineRule="auto" w:after="40"/>
        <w:jc w:val="both"/>
      </w:pPr>
      <w:r>
        <w:rPr>
          <w:rFonts w:ascii="Times New Roman" w:hAnsi="Times New Roman" w:eastAsia="SimSun"/>
          <w:b w:val="0"/>
          <w:sz w:val="24"/>
        </w:rPr>
        <w:t>方式A：一次性支付。【受让方】应于交割日后【●】个工作日内，将全部转让价款一次性支付至【转让方】指定账户。</w:t>
      </w:r>
    </w:p>
    <w:p>
      <w:pPr>
        <w:spacing w:line="319" w:lineRule="auto" w:after="40"/>
        <w:jc w:val="both"/>
      </w:pPr>
      <w:r>
        <w:rPr>
          <w:rFonts w:ascii="Times New Roman" w:hAnsi="Times New Roman" w:eastAsia="SimSun"/>
          <w:b w:val="0"/>
          <w:sz w:val="24"/>
        </w:rPr>
        <w:t>方式B：分期支付。（一）本协议签署后【●】个工作日内支付第一期【●】元；（二）交割日后【●】个工作日内支付第二期【●】元；（三）变更登记日及中国证券投资基金业协会变更手续办结后【●】个工作日内支付剩余价款【●】元。</w:t>
      </w:r>
    </w:p>
    <w:p>
      <w:pPr>
        <w:spacing w:line="300" w:lineRule="auto" w:after="60"/>
        <w:jc w:val="both"/>
      </w:pPr>
      <w:r>
        <w:rPr>
          <w:rFonts w:ascii="Times New Roman" w:hAnsi="Times New Roman" w:eastAsia="SimSun"/>
          <w:b w:val="0"/>
          <w:color w:val="7F7F7F"/>
          <w:sz w:val="21"/>
        </w:rPr>
        <w:t>【拟稿注：选定后删去未选支，空置的选择项在争议中可能被作不利解释。价款构成应区分核定：实缴出资对应份额的作价，与未实缴认缴出资义务由受让方承接的安排（承接认缴义务通常应在定价中扣减对价或明确承接范围并单独作价），并在附件一确认表中列明，避免事后就价款是否含未实缴部分发生争议。】</w:t>
      </w:r>
    </w:p>
    <w:p>
      <w:pPr>
        <w:spacing w:line="319" w:lineRule="auto" w:after="40"/>
        <w:jc w:val="both"/>
      </w:pPr>
      <w:r>
        <w:rPr>
          <w:rFonts w:ascii="Times New Roman" w:hAnsi="Times New Roman" w:eastAsia="SimSun"/>
          <w:b w:val="0"/>
          <w:sz w:val="24"/>
        </w:rPr>
        <w:t>3、□适用　□不适用：各方同意开立共管账户或监管账户，转让价款先行存入该账户，待交割及变更登记完成后按本条约定释放。</w:t>
      </w:r>
    </w:p>
    <w:p>
      <w:pPr>
        <w:spacing w:line="300" w:lineRule="auto" w:after="60"/>
        <w:jc w:val="both"/>
      </w:pPr>
      <w:r>
        <w:rPr>
          <w:rFonts w:ascii="Times New Roman" w:hAnsi="Times New Roman" w:eastAsia="SimSun"/>
          <w:b w:val="0"/>
          <w:color w:val="7F7F7F"/>
          <w:sz w:val="21"/>
        </w:rPr>
        <w:t>【拟稿注：本款为勾选项，选定后删去未选支，空置的选择项在争议中可能被作不利解释；选用共管或监管账户的，应同步约定款项释放条件、指令机制与账户费用承担。】</w:t>
      </w:r>
    </w:p>
    <w:p>
      <w:pPr>
        <w:spacing w:line="341" w:lineRule="auto" w:before="200" w:after="120"/>
      </w:pPr>
      <w:r>
        <w:rPr>
          <w:rFonts w:ascii="Times New Roman" w:hAnsi="Times New Roman" w:eastAsia="SimHei"/>
          <w:b/>
          <w:sz w:val="28"/>
        </w:rPr>
        <w:t>第四条　交割与移交</w:t>
      </w:r>
    </w:p>
    <w:p>
      <w:pPr>
        <w:spacing w:line="319" w:lineRule="auto" w:after="40"/>
        <w:jc w:val="both"/>
      </w:pPr>
      <w:r>
        <w:rPr>
          <w:rFonts w:ascii="Times New Roman" w:hAnsi="Times New Roman" w:eastAsia="SimSun"/>
          <w:b w:val="0"/>
          <w:sz w:val="24"/>
        </w:rPr>
        <w:t>1、交割日当日，各方签署交割确认书，确认先决条件成就情况及标的份额权利义务移转。</w:t>
      </w:r>
    </w:p>
    <w:p>
      <w:pPr>
        <w:spacing w:line="319" w:lineRule="auto" w:after="40"/>
        <w:jc w:val="both"/>
      </w:pPr>
      <w:r>
        <w:rPr>
          <w:rFonts w:ascii="Times New Roman" w:hAnsi="Times New Roman" w:eastAsia="SimSun"/>
          <w:b w:val="0"/>
          <w:sz w:val="24"/>
        </w:rPr>
        <w:t>2、【转让方】应于交割日后【●】个工作日内，按附件二移交清单向【受让方】（或【基金】指定人员）移交与普通合伙人职责相关的印章、证照、会计账簿、投资档案、募集结算资金专用账户及募集监督协议资料、基金合同与交易文件正本等，并办理交接签收。</w:t>
      </w:r>
    </w:p>
    <w:p>
      <w:pPr>
        <w:spacing w:line="319" w:lineRule="auto" w:after="40"/>
        <w:jc w:val="both"/>
      </w:pPr>
      <w:r>
        <w:rPr>
          <w:rFonts w:ascii="Times New Roman" w:hAnsi="Times New Roman" w:eastAsia="SimSun"/>
          <w:b w:val="0"/>
          <w:sz w:val="24"/>
        </w:rPr>
        <w:t>3、各方确认按内部决议签署、市场主体变更登记、协会变更手续的先后顺序办理变更程序：【基金】应自作出变更决议之日起30日内向登记机关申请变更登记（《市场主体登记管理条例》第二十四条）；本次转让属基金层面重大信息变更的，应自变更登记日起10个工作日内按《私募投资基金登记备案办法》第五十五条向中国证券投资基金业协会履行变更手续；本次转让同时导致私募基金管理人变更的，按《私募投资基金备案指引第3号——私募投资基金变更管理人》第六条办理。各方应按本包14号指引相互配合并及时提供签署文件。</w:t>
      </w:r>
    </w:p>
    <w:p>
      <w:pPr>
        <w:spacing w:line="319" w:lineRule="auto" w:after="40"/>
        <w:jc w:val="both"/>
      </w:pPr>
      <w:r>
        <w:rPr>
          <w:rFonts w:ascii="Times New Roman" w:hAnsi="Times New Roman" w:eastAsia="SimSun"/>
          <w:b w:val="0"/>
          <w:sz w:val="24"/>
        </w:rPr>
        <w:t>4、办理前述变更登记及变更手续的费用由【●】承担；各方因本次交易发生的中介费用各自承担，另有约定的除外。</w:t>
      </w:r>
    </w:p>
    <w:p>
      <w:pPr>
        <w:spacing w:line="341" w:lineRule="auto" w:before="200" w:after="120"/>
      </w:pPr>
      <w:r>
        <w:rPr>
          <w:rFonts w:ascii="Times New Roman" w:hAnsi="Times New Roman" w:eastAsia="SimHei"/>
          <w:b/>
          <w:sz w:val="28"/>
        </w:rPr>
        <w:t>第五条　期间损益与费用切割</w:t>
      </w:r>
    </w:p>
    <w:p>
      <w:pPr>
        <w:spacing w:line="319" w:lineRule="auto" w:after="40"/>
        <w:jc w:val="both"/>
      </w:pPr>
      <w:r>
        <w:rPr>
          <w:rFonts w:ascii="Times New Roman" w:hAnsi="Times New Roman" w:eastAsia="SimSun"/>
          <w:b w:val="0"/>
          <w:sz w:val="24"/>
        </w:rPr>
        <w:t>1、各方确认以【●】年【●】月【●】日为基准日。基准日（含当日）前标的份额对应的损益、费用及分配权益归属于【转让方】，基准日后归属于【受让方】。除各方另有书面约定外，基准日为交割日当日；基准日与交割日不为同一日的，应以书面补充约定明确差异期间损益与债务的归属衔接，避免与第六条第2款的交割日划界出现空档或重叠。</w:t>
      </w:r>
    </w:p>
    <w:p>
      <w:pPr>
        <w:spacing w:line="319" w:lineRule="auto" w:after="40"/>
        <w:jc w:val="both"/>
      </w:pPr>
      <w:r>
        <w:rPr>
          <w:rFonts w:ascii="Times New Roman" w:hAnsi="Times New Roman" w:eastAsia="SimSun"/>
          <w:b w:val="0"/>
          <w:sz w:val="24"/>
        </w:rPr>
        <w:t>2、基准日后【基金】发生利润分配或出资退还的，对应款项归属按前款原则确定，收款方应于收到后【●】个工作日内向应得方转付。</w:t>
      </w:r>
    </w:p>
    <w:p>
      <w:pPr>
        <w:spacing w:line="319" w:lineRule="auto" w:after="40"/>
        <w:jc w:val="both"/>
      </w:pPr>
      <w:r>
        <w:rPr>
          <w:rFonts w:ascii="Times New Roman" w:hAnsi="Times New Roman" w:eastAsia="SimSun"/>
          <w:b w:val="0"/>
          <w:sz w:val="24"/>
        </w:rPr>
        <w:t>3、【转让方】同时担任【基金】管理人或享有管理费、业绩报酬的，其切割与结算按本包10号文件另行处理。</w:t>
      </w:r>
    </w:p>
    <w:p>
      <w:pPr>
        <w:spacing w:line="300" w:lineRule="auto" w:after="60"/>
        <w:jc w:val="both"/>
      </w:pPr>
      <w:r>
        <w:rPr>
          <w:rFonts w:ascii="Times New Roman" w:hAnsi="Times New Roman" w:eastAsia="SimSun"/>
          <w:b w:val="0"/>
          <w:color w:val="7F7F7F"/>
          <w:sz w:val="21"/>
        </w:rPr>
        <w:t>【拟稿注：管理费与业绩报酬不是份额对应损益，切割口径不同：份额损益随基准日切割，管理报酬随管理职责移交时点切割，且业绩报酬通常须待项目退出或基金清算方可最终计算，建议在配套文件中约定预提与多退少补机制，勿在本条笼统处理。】</w:t>
      </w:r>
    </w:p>
    <w:p>
      <w:pPr>
        <w:spacing w:line="341" w:lineRule="auto" w:before="200" w:after="120"/>
      </w:pPr>
      <w:r>
        <w:rPr>
          <w:rFonts w:ascii="Times New Roman" w:hAnsi="Times New Roman" w:eastAsia="SimHei"/>
          <w:b/>
          <w:sz w:val="28"/>
        </w:rPr>
        <w:t>第六条　债务承担与相互补偿</w:t>
      </w:r>
    </w:p>
    <w:p>
      <w:pPr>
        <w:spacing w:line="319" w:lineRule="auto" w:after="40"/>
        <w:jc w:val="both"/>
      </w:pPr>
      <w:r>
        <w:rPr>
          <w:rFonts w:ascii="Times New Roman" w:hAnsi="Times New Roman" w:eastAsia="SimSun"/>
          <w:b w:val="0"/>
          <w:sz w:val="24"/>
        </w:rPr>
        <w:t>1、对外效力声明：各方确认，【受让方】经修改合伙协议成为【基金】普通合伙人后，对其入伙前【基金】的债务依法承担无限连带责任（《中华人民共和国合伙企业法》第四十四条）；【转让方】退出后，对基于其退出前的原因发生的【基金】债务依法承担无限连带责任（《中华人民共和国合伙企业法》第五十三条）。上述法定责任系对债权人承担的对外责任，不因本协议内部约定而对抗债权人。</w:t>
      </w:r>
    </w:p>
    <w:p>
      <w:pPr>
        <w:spacing w:line="319" w:lineRule="auto" w:after="40"/>
        <w:jc w:val="both"/>
      </w:pPr>
      <w:r>
        <w:rPr>
          <w:rFonts w:ascii="Times New Roman" w:hAnsi="Times New Roman" w:eastAsia="SimSun"/>
          <w:b w:val="0"/>
          <w:sz w:val="24"/>
        </w:rPr>
        <w:t>2、对内划界：各方内部约定，以交割日为界：交割日（含当日）前的原因产生的【基金】债务及或有负债，由【转让方】最终承担，【受让方】因对外承担该等债务而实际支出的，有权向【转让方】追偿并要求全额补偿；交割日后的原因产生的债务由【受让方】最终承担，【转让方】因对外承担该等债务而实际支出的，有权向【受让方】追偿并要求全额补偿。</w:t>
      </w:r>
    </w:p>
    <w:p>
      <w:pPr>
        <w:spacing w:line="319" w:lineRule="auto" w:after="40"/>
        <w:jc w:val="both"/>
      </w:pPr>
      <w:r>
        <w:rPr>
          <w:rFonts w:ascii="Times New Roman" w:hAnsi="Times New Roman" w:eastAsia="SimSun"/>
          <w:b w:val="0"/>
          <w:sz w:val="24"/>
        </w:rPr>
        <w:t>3、未披露负债专项补偿：交割日后发现【转让方】于本协议签署日前未书面披露的【基金】债务、对外担保或或有负债的，【转让方】应就【受让方】因此遭受的损失予以补偿。□适用　□不适用：该项补偿的存续期间为交割日后【●】年，累计补偿以转让价款的【●】%为上限。</w:t>
      </w:r>
    </w:p>
    <w:p>
      <w:pPr>
        <w:spacing w:line="300" w:lineRule="auto" w:after="60"/>
        <w:jc w:val="both"/>
      </w:pPr>
      <w:r>
        <w:rPr>
          <w:rFonts w:ascii="Times New Roman" w:hAnsi="Times New Roman" w:eastAsia="SimSun"/>
          <w:b w:val="0"/>
          <w:color w:val="7F7F7F"/>
          <w:sz w:val="21"/>
        </w:rPr>
        <w:t>【拟稿注：第1款的法定无限连带责任对外不可通过约定排除或限制，第2款、第3款仅在转让方与受让方之间产生内部追偿与补偿效力。补偿期限与上限属商业谈判事项：设置上限意味着受让方就超出部分自行承担，应结合尽调发现、基金存续期及未退出项目风险综合确定；选定后删去未选支，空置的选择项在争议中可能被作不利解释。】</w:t>
      </w:r>
    </w:p>
    <w:p>
      <w:pPr>
        <w:spacing w:line="341" w:lineRule="auto" w:before="200" w:after="120"/>
      </w:pPr>
      <w:r>
        <w:rPr>
          <w:rFonts w:ascii="Times New Roman" w:hAnsi="Times New Roman" w:eastAsia="SimHei"/>
          <w:b/>
          <w:sz w:val="28"/>
        </w:rPr>
        <w:t>第七条　陈述与保证</w:t>
      </w:r>
    </w:p>
    <w:p>
      <w:pPr>
        <w:spacing w:line="319" w:lineRule="auto" w:after="40"/>
        <w:jc w:val="both"/>
      </w:pPr>
      <w:r>
        <w:rPr>
          <w:rFonts w:ascii="Times New Roman" w:hAnsi="Times New Roman" w:eastAsia="SimSun"/>
          <w:b w:val="0"/>
          <w:sz w:val="24"/>
        </w:rPr>
        <w:t>1、【转让方】向【受让方】陈述并保证：（一）其持有的标的份额权属清晰，不存在质押、冻结、查封、代持或其他权利负担，未被采取强制执行措施；（二）其已按《中华人民共和国合伙企业法》第四十三条第二款的要求，向【受让方】如实告知【基金】的经营状况和财务状况；（三）【基金】在中国证券投资基金业协会的备案信息真实、准确、完整，不存在应披露而未披露的重大事项；（四）其签署及履行本协议已取得内部有权机构批准。</w:t>
      </w:r>
    </w:p>
    <w:p>
      <w:pPr>
        <w:spacing w:line="319" w:lineRule="auto" w:after="40"/>
        <w:jc w:val="both"/>
      </w:pPr>
      <w:r>
        <w:rPr>
          <w:rFonts w:ascii="Times New Roman" w:hAnsi="Times New Roman" w:eastAsia="SimSun"/>
          <w:b w:val="0"/>
          <w:sz w:val="24"/>
        </w:rPr>
        <w:t>2、【受让方】向【转让方】及【基金】陈述并保证：（一）其具备签署及履行本协议的主体资格；（二）其受让标的份额的资金来源合法合规；（三）其不存在《私募投资基金监督管理条例》第八条、第九条规定的情形；（四）其已完成对【基金】及标的份额的尽职调查，知悉并自愿承担私募基金投资风险及普通合伙人的法定责任。</w:t>
      </w:r>
    </w:p>
    <w:p>
      <w:pPr>
        <w:spacing w:line="341" w:lineRule="auto" w:before="200" w:after="120"/>
      </w:pPr>
      <w:r>
        <w:rPr>
          <w:rFonts w:ascii="Times New Roman" w:hAnsi="Times New Roman" w:eastAsia="SimHei"/>
          <w:b/>
          <w:sz w:val="28"/>
        </w:rPr>
        <w:t>第八条　税费承担</w:t>
      </w:r>
    </w:p>
    <w:p>
      <w:pPr>
        <w:spacing w:line="319" w:lineRule="auto" w:after="40"/>
        <w:jc w:val="both"/>
      </w:pPr>
      <w:r>
        <w:rPr>
          <w:rFonts w:ascii="Times New Roman" w:hAnsi="Times New Roman" w:eastAsia="SimSun"/>
          <w:b w:val="0"/>
          <w:sz w:val="24"/>
        </w:rPr>
        <w:t>各方因本次转让发生的税费依照法律法规各自承担；一方依法负有代扣代缴义务的，另一方应予配合并及时提供资料与凭证。</w:t>
      </w:r>
    </w:p>
    <w:p>
      <w:pPr>
        <w:spacing w:line="300" w:lineRule="auto" w:after="60"/>
        <w:jc w:val="both"/>
      </w:pPr>
      <w:r>
        <w:rPr>
          <w:rFonts w:ascii="Times New Roman" w:hAnsi="Times New Roman" w:eastAsia="SimSun"/>
          <w:b w:val="0"/>
          <w:color w:val="7F7F7F"/>
          <w:sz w:val="21"/>
        </w:rPr>
        <w:t>【拟稿注：合伙企业财产份额转让的税务处理存在地区执行口径差异（计税基础确认、适用税目、核定方式等），签约前应完成税负测算并留存申报凭证，必要时向主管税务机关事先确认口径，勿以包税条款替代测算。】</w:t>
      </w:r>
    </w:p>
    <w:p>
      <w:pPr>
        <w:spacing w:line="341" w:lineRule="auto" w:before="200" w:after="120"/>
      </w:pPr>
      <w:r>
        <w:rPr>
          <w:rFonts w:ascii="Times New Roman" w:hAnsi="Times New Roman" w:eastAsia="SimHei"/>
          <w:b/>
          <w:sz w:val="28"/>
        </w:rPr>
        <w:t>第九条　违约责任</w:t>
      </w:r>
    </w:p>
    <w:p>
      <w:pPr>
        <w:spacing w:line="319" w:lineRule="auto" w:after="40"/>
        <w:jc w:val="both"/>
      </w:pPr>
      <w:r>
        <w:rPr>
          <w:rFonts w:ascii="Times New Roman" w:hAnsi="Times New Roman" w:eastAsia="SimSun"/>
          <w:b w:val="0"/>
          <w:sz w:val="24"/>
        </w:rPr>
        <w:t>1、任何一方违反本协议约定的，应赔偿守约方因此遭受的直接损失。</w:t>
      </w:r>
    </w:p>
    <w:p>
      <w:pPr>
        <w:spacing w:line="319" w:lineRule="auto" w:after="40"/>
        <w:jc w:val="both"/>
      </w:pPr>
      <w:r>
        <w:rPr>
          <w:rFonts w:ascii="Times New Roman" w:hAnsi="Times New Roman" w:eastAsia="SimSun"/>
          <w:b w:val="0"/>
          <w:sz w:val="24"/>
        </w:rPr>
        <w:t>2、【受让方】逾期支付转让价款的，每逾期一日按未付款项的万分之【●】支付违约金；逾期超过【●】日的，【转让方】有权解除本协议。</w:t>
      </w:r>
    </w:p>
    <w:p>
      <w:pPr>
        <w:spacing w:line="319" w:lineRule="auto" w:after="40"/>
        <w:jc w:val="both"/>
      </w:pPr>
      <w:r>
        <w:rPr>
          <w:rFonts w:ascii="Times New Roman" w:hAnsi="Times New Roman" w:eastAsia="SimSun"/>
          <w:b w:val="0"/>
          <w:sz w:val="24"/>
        </w:rPr>
        <w:t>3、【转让方】逾期履行移交义务或违反陈述与保证的，每逾期一日按转让价款的万分之【●】支付违约金；致使合同目的不能实现的，【受让方】有权解除本协议并要求赔偿损失。</w:t>
      </w:r>
    </w:p>
    <w:p>
      <w:pPr>
        <w:spacing w:line="319" w:lineRule="auto" w:after="40"/>
        <w:jc w:val="both"/>
      </w:pPr>
      <w:r>
        <w:rPr>
          <w:rFonts w:ascii="Times New Roman" w:hAnsi="Times New Roman" w:eastAsia="SimSun"/>
          <w:b w:val="0"/>
          <w:sz w:val="24"/>
        </w:rPr>
        <w:t>4、因一方原因致使市场主体变更登记或协会变更手续逾期的，由该方承担相应责任与损失。</w:t>
      </w:r>
    </w:p>
    <w:p>
      <w:pPr>
        <w:spacing w:line="341" w:lineRule="auto" w:before="200" w:after="120"/>
      </w:pPr>
      <w:r>
        <w:rPr>
          <w:rFonts w:ascii="Times New Roman" w:hAnsi="Times New Roman" w:eastAsia="SimHei"/>
          <w:b/>
          <w:sz w:val="28"/>
        </w:rPr>
        <w:t>第十条　保密</w:t>
      </w:r>
    </w:p>
    <w:p>
      <w:pPr>
        <w:spacing w:line="319" w:lineRule="auto" w:after="40"/>
        <w:jc w:val="both"/>
      </w:pPr>
      <w:r>
        <w:rPr>
          <w:rFonts w:ascii="Times New Roman" w:hAnsi="Times New Roman" w:eastAsia="SimSun"/>
          <w:b w:val="0"/>
          <w:sz w:val="24"/>
        </w:rPr>
        <w:t>各方对本协议内容、磋商过程及因本次交易知悉的对方及【基金】的商业秘密、投资者信息负有保密义务，非经披露方书面同意不得向第三方披露，但依法律法规、监管要求或为办理本次转让的登记及变更手续而披露的除外。保密义务不因本协议解除或终止而失效，存续期为【●】年。</w:t>
      </w:r>
    </w:p>
    <w:p>
      <w:pPr>
        <w:spacing w:line="341" w:lineRule="auto" w:before="200" w:after="120"/>
      </w:pPr>
      <w:r>
        <w:rPr>
          <w:rFonts w:ascii="Times New Roman" w:hAnsi="Times New Roman" w:eastAsia="SimHei"/>
          <w:b/>
          <w:sz w:val="28"/>
        </w:rPr>
        <w:t>第十一条　通知与送达</w:t>
      </w:r>
    </w:p>
    <w:p>
      <w:pPr>
        <w:spacing w:line="319" w:lineRule="auto" w:after="40"/>
        <w:jc w:val="both"/>
      </w:pPr>
      <w:r>
        <w:rPr>
          <w:rFonts w:ascii="Times New Roman" w:hAnsi="Times New Roman" w:eastAsia="SimSun"/>
          <w:b w:val="0"/>
          <w:sz w:val="24"/>
        </w:rPr>
        <w:t>1、各方确认以本协议首部载明的地址、联系电话及电子邮箱为有效送达方式。专人送达的，签收之日视为送达；邮寄送达的，交邮后第【●】日视为送达；电子邮件发送成功的，发送当日视为送达。</w:t>
      </w:r>
    </w:p>
    <w:p>
      <w:pPr>
        <w:spacing w:line="319" w:lineRule="auto" w:after="40"/>
        <w:jc w:val="both"/>
      </w:pPr>
      <w:r>
        <w:rPr>
          <w:rFonts w:ascii="Times New Roman" w:hAnsi="Times New Roman" w:eastAsia="SimSun"/>
          <w:b w:val="0"/>
          <w:sz w:val="24"/>
        </w:rPr>
        <w:t>2、一方变更送达信息的，应于变更后【●】个工作日内书面通知其他各方；未通知的，按原信息送达仍视为有效送达。</w:t>
      </w:r>
    </w:p>
    <w:p>
      <w:pPr>
        <w:spacing w:line="341" w:lineRule="auto" w:before="200" w:after="120"/>
      </w:pPr>
      <w:r>
        <w:rPr>
          <w:rFonts w:ascii="Times New Roman" w:hAnsi="Times New Roman" w:eastAsia="SimHei"/>
          <w:b/>
          <w:sz w:val="28"/>
        </w:rPr>
        <w:t>第十二条　争议解决</w:t>
      </w:r>
    </w:p>
    <w:p>
      <w:pPr>
        <w:spacing w:line="319" w:lineRule="auto" w:after="40"/>
        <w:jc w:val="both"/>
      </w:pPr>
      <w:r>
        <w:rPr>
          <w:rFonts w:ascii="Times New Roman" w:hAnsi="Times New Roman" w:eastAsia="SimSun"/>
          <w:b w:val="0"/>
          <w:sz w:val="24"/>
        </w:rPr>
        <w:t>因本协议引起的或与本协议有关的争议，各方应首先友好协商解决；协商不成的，按以下方式解决（二选一）：</w:t>
      </w:r>
    </w:p>
    <w:p>
      <w:pPr>
        <w:spacing w:line="319" w:lineRule="auto" w:after="40"/>
        <w:jc w:val="both"/>
      </w:pPr>
      <w:r>
        <w:rPr>
          <w:rFonts w:ascii="Times New Roman" w:hAnsi="Times New Roman" w:eastAsia="SimSun"/>
          <w:b w:val="0"/>
          <w:sz w:val="24"/>
        </w:rPr>
        <w:t>方式A：提交【●】仲裁委员会，按其申请仲裁时有效的仲裁规则仲裁，仲裁裁决为终局，对各方均有约束力。</w:t>
      </w:r>
    </w:p>
    <w:p>
      <w:pPr>
        <w:spacing w:line="319" w:lineRule="auto" w:after="40"/>
        <w:jc w:val="both"/>
      </w:pPr>
      <w:r>
        <w:rPr>
          <w:rFonts w:ascii="Times New Roman" w:hAnsi="Times New Roman" w:eastAsia="SimSun"/>
          <w:b w:val="0"/>
          <w:sz w:val="24"/>
        </w:rPr>
        <w:t>方式B：向有管辖权的人民法院起诉。</w:t>
      </w:r>
    </w:p>
    <w:p>
      <w:pPr>
        <w:spacing w:line="300" w:lineRule="auto" w:after="60"/>
        <w:jc w:val="both"/>
      </w:pPr>
      <w:r>
        <w:rPr>
          <w:rFonts w:ascii="Times New Roman" w:hAnsi="Times New Roman" w:eastAsia="SimSun"/>
          <w:b w:val="0"/>
          <w:color w:val="7F7F7F"/>
          <w:sz w:val="21"/>
        </w:rPr>
        <w:t>【拟稿注：选定后删去未选支，空置的选择项在争议中可能被作不利解释。选择仲裁的应写明确定且唯一的仲裁机构名称；选择诉讼的应结合被告住所地、合同履行地预判管辖法院。】</w:t>
      </w:r>
    </w:p>
    <w:p>
      <w:pPr>
        <w:spacing w:line="341" w:lineRule="auto" w:before="200" w:after="120"/>
      </w:pPr>
      <w:r>
        <w:rPr>
          <w:rFonts w:ascii="Times New Roman" w:hAnsi="Times New Roman" w:eastAsia="SimHei"/>
          <w:b/>
          <w:sz w:val="28"/>
        </w:rPr>
        <w:t>第十三条　生效及其他</w:t>
      </w:r>
    </w:p>
    <w:p>
      <w:pPr>
        <w:spacing w:line="319" w:lineRule="auto" w:after="40"/>
        <w:jc w:val="both"/>
      </w:pPr>
      <w:r>
        <w:rPr>
          <w:rFonts w:ascii="Times New Roman" w:hAnsi="Times New Roman" w:eastAsia="SimSun"/>
          <w:b w:val="0"/>
          <w:sz w:val="24"/>
        </w:rPr>
        <w:t>1、本协议自各方盖章或签字之日起成立并生效。</w:t>
      </w:r>
    </w:p>
    <w:p>
      <w:pPr>
        <w:spacing w:line="319" w:lineRule="auto" w:after="40"/>
        <w:jc w:val="both"/>
      </w:pPr>
      <w:r>
        <w:rPr>
          <w:rFonts w:ascii="Times New Roman" w:hAnsi="Times New Roman" w:eastAsia="SimSun"/>
          <w:b w:val="0"/>
          <w:sz w:val="24"/>
        </w:rPr>
        <w:t>2、标的份额的变动及【受让方】普通合伙人资格的取得，以全体合伙人完成合伙协议修改为准（《中华人民共和国合伙企业法》第二十四条）。</w:t>
      </w:r>
    </w:p>
    <w:p>
      <w:pPr>
        <w:spacing w:line="319" w:lineRule="auto" w:after="40"/>
        <w:jc w:val="both"/>
      </w:pPr>
      <w:r>
        <w:rPr>
          <w:rFonts w:ascii="Times New Roman" w:hAnsi="Times New Roman" w:eastAsia="SimSun"/>
          <w:b w:val="0"/>
          <w:sz w:val="24"/>
        </w:rPr>
        <w:t>3、本协议未尽事宜由各方书面协商补充，补充协议与本协议具有同等效力。本协议一式【●】份，各方各执【●】份，其余用于办理登记及变更手续。</w:t>
      </w:r>
    </w:p>
    <w:p>
      <w:pPr>
        <w:spacing w:line="300" w:lineRule="auto" w:after="60"/>
        <w:jc w:val="both"/>
      </w:pPr>
      <w:r>
        <w:rPr>
          <w:rFonts w:ascii="Times New Roman" w:hAnsi="Times New Roman" w:eastAsia="SimSun"/>
          <w:b w:val="0"/>
          <w:color w:val="7F7F7F"/>
          <w:sz w:val="21"/>
        </w:rPr>
        <w:t>【拟稿注：协议生效与份额变动系两个层次：协议签署即在各方之间产生合同拘束力，但受让方取得合伙人资格以完成合伙协议修改为节点（《合伙企业法》第二十四条），市场主体变更登记与协会变更手续是对已变更事实的登记与信息报送。交易安排上应避免先付全款、后办合伙协议修改的敞口期过长。】</w:t>
      </w:r>
    </w:p>
    <w:p>
      <w:pPr>
        <w:spacing w:line="319" w:lineRule="auto" w:after="40"/>
        <w:jc w:val="both"/>
      </w:pPr>
      <w:r>
        <w:rPr>
          <w:rFonts w:ascii="Times New Roman" w:hAnsi="Times New Roman" w:eastAsia="SimSun"/>
          <w:b w:val="0"/>
          <w:sz w:val="24"/>
        </w:rPr>
        <w:t>（以下无正文，为签署页）</w:t>
      </w:r>
    </w:p>
    <w:p>
      <w:pPr>
        <w:spacing w:line="319" w:lineRule="auto" w:after="40"/>
        <w:jc w:val="both"/>
      </w:pPr>
      <w:r>
        <w:rPr>
          <w:rFonts w:ascii="Times New Roman" w:hAnsi="Times New Roman" w:eastAsia="SimSun"/>
          <w:b w:val="0"/>
          <w:sz w:val="24"/>
        </w:rPr>
        <w:t>【转让方】（盖章/签字）：</w:t>
      </w:r>
    </w:p>
    <w:p>
      <w:pPr>
        <w:spacing w:line="319" w:lineRule="auto" w:after="40"/>
        <w:jc w:val="both"/>
      </w:pPr>
      <w:r>
        <w:rPr>
          <w:rFonts w:ascii="Times New Roman" w:hAnsi="Times New Roman" w:eastAsia="SimSun"/>
          <w:b w:val="0"/>
          <w:sz w:val="24"/>
        </w:rPr>
        <w:t>签署日期：【●】年【●】月【●】日</w:t>
      </w:r>
    </w:p>
    <w:p>
      <w:pPr>
        <w:spacing w:line="319" w:lineRule="auto" w:after="40"/>
        <w:jc w:val="both"/>
      </w:pPr>
      <w:r>
        <w:rPr>
          <w:rFonts w:ascii="Times New Roman" w:hAnsi="Times New Roman" w:eastAsia="SimSun"/>
          <w:b w:val="0"/>
          <w:sz w:val="24"/>
        </w:rPr>
        <w:t>【受让方】（盖章/签字）：</w:t>
      </w:r>
    </w:p>
    <w:p>
      <w:pPr>
        <w:spacing w:line="319" w:lineRule="auto" w:after="40"/>
        <w:jc w:val="both"/>
      </w:pPr>
      <w:r>
        <w:rPr>
          <w:rFonts w:ascii="Times New Roman" w:hAnsi="Times New Roman" w:eastAsia="SimSun"/>
          <w:b w:val="0"/>
          <w:sz w:val="24"/>
        </w:rPr>
        <w:t>签署日期：【●】年【●】月【●】日</w:t>
      </w:r>
    </w:p>
    <w:p>
      <w:pPr>
        <w:spacing w:line="319" w:lineRule="auto" w:after="40"/>
        <w:jc w:val="both"/>
      </w:pPr>
      <w:r>
        <w:rPr>
          <w:rFonts w:ascii="Times New Roman" w:hAnsi="Times New Roman" w:eastAsia="SimSun"/>
          <w:b w:val="0"/>
          <w:sz w:val="24"/>
        </w:rPr>
        <w:t>【基金】（盖章）：</w:t>
      </w:r>
    </w:p>
    <w:p>
      <w:pPr>
        <w:spacing w:line="319" w:lineRule="auto" w:after="40"/>
        <w:jc w:val="both"/>
      </w:pPr>
      <w:r>
        <w:rPr>
          <w:rFonts w:ascii="Times New Roman" w:hAnsi="Times New Roman" w:eastAsia="SimSun"/>
          <w:b w:val="0"/>
          <w:sz w:val="24"/>
        </w:rPr>
        <w:t>执行事务合伙人（或按合伙协议确定的代表）（盖章/签字）：</w:t>
      </w:r>
    </w:p>
    <w:p>
      <w:pPr>
        <w:spacing w:line="319" w:lineRule="auto" w:after="40"/>
        <w:jc w:val="both"/>
      </w:pPr>
      <w:r>
        <w:rPr>
          <w:rFonts w:ascii="Times New Roman" w:hAnsi="Times New Roman" w:eastAsia="SimSun"/>
          <w:b w:val="0"/>
          <w:sz w:val="24"/>
        </w:rPr>
        <w:t>委派代表（签字）：</w:t>
      </w:r>
    </w:p>
    <w:p>
      <w:pPr>
        <w:spacing w:line="319" w:lineRule="auto" w:after="40"/>
        <w:jc w:val="both"/>
      </w:pPr>
      <w:r>
        <w:rPr>
          <w:rFonts w:ascii="Times New Roman" w:hAnsi="Times New Roman" w:eastAsia="SimSun"/>
          <w:b w:val="0"/>
          <w:sz w:val="24"/>
        </w:rPr>
        <w:t>签署日期：【●】年【●】月【●】日</w:t>
      </w:r>
    </w:p>
    <w:p>
      <w:pPr>
        <w:spacing w:line="341" w:lineRule="auto" w:before="200" w:after="120"/>
      </w:pPr>
      <w:r>
        <w:rPr>
          <w:rFonts w:ascii="Times New Roman" w:hAnsi="Times New Roman" w:eastAsia="SimHei"/>
          <w:b/>
          <w:sz w:val="28"/>
        </w:rPr>
        <w:t>附件一　份额及出资情况确认表</w:t>
      </w:r>
    </w:p>
    <w:tbl>
      <w:tblPr>
        <w:tblStyle w:val="TableGrid"/>
        <w:tblW w:type="auto" w:w="0"/>
        <w:tblLook w:firstColumn="1" w:firstRow="1" w:lastColumn="0" w:lastRow="0" w:noHBand="0" w:noVBand="1" w:val="04A0"/>
      </w:tblPr>
      <w:tblGrid>
        <w:gridCol w:w="3120"/>
        <w:gridCol w:w="3120"/>
        <w:gridCol w:w="3120"/>
      </w:tblGrid>
      <w:tr>
        <w:tc>
          <w:tcPr>
            <w:tcW w:type="dxa" w:w="3120"/>
          </w:tcPr>
          <w:p>
            <w:pPr>
              <w:spacing w:line="288" w:lineRule="auto"/>
            </w:pPr>
            <w:r/>
            <w:r>
              <w:rPr>
                <w:rFonts w:ascii="Times New Roman" w:hAnsi="Times New Roman" w:eastAsia="SimHei"/>
                <w:b/>
                <w:sz w:val="21"/>
              </w:rPr>
              <w:t>项目</w:t>
            </w:r>
          </w:p>
        </w:tc>
        <w:tc>
          <w:tcPr>
            <w:tcW w:type="dxa" w:w="3120"/>
          </w:tcPr>
          <w:p>
            <w:pPr>
              <w:spacing w:line="288" w:lineRule="auto"/>
            </w:pPr>
            <w:r/>
            <w:r>
              <w:rPr>
                <w:rFonts w:ascii="Times New Roman" w:hAnsi="Times New Roman" w:eastAsia="SimHei"/>
                <w:b/>
                <w:sz w:val="21"/>
              </w:rPr>
              <w:t>转让前</w:t>
            </w:r>
          </w:p>
        </w:tc>
        <w:tc>
          <w:tcPr>
            <w:tcW w:type="dxa" w:w="3120"/>
          </w:tcPr>
          <w:p>
            <w:pPr>
              <w:spacing w:line="288" w:lineRule="auto"/>
            </w:pPr>
            <w:r/>
            <w:r>
              <w:rPr>
                <w:rFonts w:ascii="Times New Roman" w:hAnsi="Times New Roman" w:eastAsia="SimHei"/>
                <w:b/>
                <w:sz w:val="21"/>
              </w:rPr>
              <w:t>转让后</w:t>
            </w:r>
          </w:p>
        </w:tc>
      </w:tr>
      <w:tr>
        <w:tc>
          <w:tcPr>
            <w:tcW w:type="dxa" w:w="3120"/>
          </w:tcPr>
          <w:p>
            <w:pPr>
              <w:spacing w:line="288" w:lineRule="auto"/>
            </w:pPr>
            <w:r/>
            <w:r>
              <w:rPr>
                <w:rFonts w:ascii="Times New Roman" w:hAnsi="Times New Roman" w:eastAsia="SimSun"/>
                <w:b w:val="0"/>
                <w:sz w:val="21"/>
              </w:rPr>
              <w:t>认缴出资额（元）</w:t>
            </w:r>
          </w:p>
        </w:tc>
        <w:tc>
          <w:tcPr>
            <w:tcW w:type="dxa" w:w="3120"/>
          </w:tcPr>
          <w:p>
            <w:pPr>
              <w:spacing w:line="288" w:lineRule="auto"/>
            </w:pPr>
            <w:r/>
            <w:r>
              <w:rPr>
                <w:rFonts w:ascii="Times New Roman" w:hAnsi="Times New Roman" w:eastAsia="SimSun"/>
                <w:b w:val="0"/>
                <w:sz w:val="21"/>
              </w:rPr>
              <w:t>【●】</w:t>
            </w:r>
          </w:p>
        </w:tc>
        <w:tc>
          <w:tcPr>
            <w:tcW w:type="dxa" w:w="3120"/>
          </w:tcPr>
          <w:p>
            <w:pPr>
              <w:spacing w:line="288" w:lineRule="auto"/>
            </w:pPr>
            <w:r/>
            <w:r>
              <w:rPr>
                <w:rFonts w:ascii="Times New Roman" w:hAnsi="Times New Roman" w:eastAsia="SimSun"/>
                <w:b w:val="0"/>
                <w:sz w:val="21"/>
              </w:rPr>
              <w:t>【●】</w:t>
            </w:r>
          </w:p>
        </w:tc>
      </w:tr>
      <w:tr>
        <w:tc>
          <w:tcPr>
            <w:tcW w:type="dxa" w:w="3120"/>
          </w:tcPr>
          <w:p>
            <w:pPr>
              <w:spacing w:line="288" w:lineRule="auto"/>
            </w:pPr>
            <w:r/>
            <w:r>
              <w:rPr>
                <w:rFonts w:ascii="Times New Roman" w:hAnsi="Times New Roman" w:eastAsia="SimSun"/>
                <w:b w:val="0"/>
                <w:sz w:val="21"/>
              </w:rPr>
              <w:t>实缴出资额（元）</w:t>
            </w:r>
          </w:p>
        </w:tc>
        <w:tc>
          <w:tcPr>
            <w:tcW w:type="dxa" w:w="3120"/>
          </w:tcPr>
          <w:p>
            <w:pPr>
              <w:spacing w:line="288" w:lineRule="auto"/>
            </w:pPr>
            <w:r/>
            <w:r>
              <w:rPr>
                <w:rFonts w:ascii="Times New Roman" w:hAnsi="Times New Roman" w:eastAsia="SimSun"/>
                <w:b w:val="0"/>
                <w:sz w:val="21"/>
              </w:rPr>
              <w:t>【●】</w:t>
            </w:r>
          </w:p>
        </w:tc>
        <w:tc>
          <w:tcPr>
            <w:tcW w:type="dxa" w:w="3120"/>
          </w:tcPr>
          <w:p>
            <w:pPr>
              <w:spacing w:line="288" w:lineRule="auto"/>
            </w:pPr>
            <w:r/>
            <w:r>
              <w:rPr>
                <w:rFonts w:ascii="Times New Roman" w:hAnsi="Times New Roman" w:eastAsia="SimSun"/>
                <w:b w:val="0"/>
                <w:sz w:val="21"/>
              </w:rPr>
              <w:t>【●】</w:t>
            </w:r>
          </w:p>
        </w:tc>
      </w:tr>
      <w:tr>
        <w:tc>
          <w:tcPr>
            <w:tcW w:type="dxa" w:w="3120"/>
          </w:tcPr>
          <w:p>
            <w:pPr>
              <w:spacing w:line="288" w:lineRule="auto"/>
            </w:pPr>
            <w:r/>
            <w:r>
              <w:rPr>
                <w:rFonts w:ascii="Times New Roman" w:hAnsi="Times New Roman" w:eastAsia="SimSun"/>
                <w:b w:val="0"/>
                <w:sz w:val="21"/>
              </w:rPr>
              <w:t>未实缴出资额（元）</w:t>
            </w:r>
          </w:p>
        </w:tc>
        <w:tc>
          <w:tcPr>
            <w:tcW w:type="dxa" w:w="3120"/>
          </w:tcPr>
          <w:p>
            <w:pPr>
              <w:spacing w:line="288" w:lineRule="auto"/>
            </w:pPr>
            <w:r/>
            <w:r>
              <w:rPr>
                <w:rFonts w:ascii="Times New Roman" w:hAnsi="Times New Roman" w:eastAsia="SimSun"/>
                <w:b w:val="0"/>
                <w:sz w:val="21"/>
              </w:rPr>
              <w:t>【●】</w:t>
            </w:r>
          </w:p>
        </w:tc>
        <w:tc>
          <w:tcPr>
            <w:tcW w:type="dxa" w:w="3120"/>
          </w:tcPr>
          <w:p>
            <w:pPr>
              <w:spacing w:line="288" w:lineRule="auto"/>
            </w:pPr>
            <w:r/>
            <w:r>
              <w:rPr>
                <w:rFonts w:ascii="Times New Roman" w:hAnsi="Times New Roman" w:eastAsia="SimSun"/>
                <w:b w:val="0"/>
                <w:sz w:val="21"/>
              </w:rPr>
              <w:t>【●】</w:t>
            </w:r>
          </w:p>
        </w:tc>
      </w:tr>
      <w:tr>
        <w:tc>
          <w:tcPr>
            <w:tcW w:type="dxa" w:w="3120"/>
          </w:tcPr>
          <w:p>
            <w:pPr>
              <w:spacing w:line="288" w:lineRule="auto"/>
            </w:pPr>
            <w:r/>
            <w:r>
              <w:rPr>
                <w:rFonts w:ascii="Times New Roman" w:hAnsi="Times New Roman" w:eastAsia="SimSun"/>
                <w:b w:val="0"/>
                <w:sz w:val="21"/>
              </w:rPr>
              <w:t>持有人及合伙人类型</w:t>
            </w:r>
          </w:p>
        </w:tc>
        <w:tc>
          <w:tcPr>
            <w:tcW w:type="dxa" w:w="3120"/>
          </w:tcPr>
          <w:p>
            <w:pPr>
              <w:spacing w:line="288" w:lineRule="auto"/>
            </w:pPr>
            <w:r/>
            <w:r>
              <w:rPr>
                <w:rFonts w:ascii="Times New Roman" w:hAnsi="Times New Roman" w:eastAsia="SimSun"/>
                <w:b w:val="0"/>
                <w:sz w:val="21"/>
              </w:rPr>
              <w:t>【转让方】（普通合伙人）</w:t>
            </w:r>
          </w:p>
        </w:tc>
        <w:tc>
          <w:tcPr>
            <w:tcW w:type="dxa" w:w="3120"/>
          </w:tcPr>
          <w:p>
            <w:pPr>
              <w:spacing w:line="288" w:lineRule="auto"/>
            </w:pPr>
            <w:r/>
            <w:r>
              <w:rPr>
                <w:rFonts w:ascii="Times New Roman" w:hAnsi="Times New Roman" w:eastAsia="SimSun"/>
                <w:b w:val="0"/>
                <w:sz w:val="21"/>
              </w:rPr>
              <w:t>【受让方】（普通合伙人）</w:t>
            </w:r>
          </w:p>
        </w:tc>
      </w:tr>
      <w:tr>
        <w:tc>
          <w:tcPr>
            <w:tcW w:type="dxa" w:w="3120"/>
          </w:tcPr>
          <w:p>
            <w:pPr>
              <w:spacing w:line="288" w:lineRule="auto"/>
            </w:pPr>
            <w:r/>
            <w:r>
              <w:rPr>
                <w:rFonts w:ascii="Times New Roman" w:hAnsi="Times New Roman" w:eastAsia="SimSun"/>
                <w:b w:val="0"/>
                <w:sz w:val="21"/>
              </w:rPr>
              <w:t>出资比例（%）</w:t>
            </w:r>
          </w:p>
        </w:tc>
        <w:tc>
          <w:tcPr>
            <w:tcW w:type="dxa" w:w="3120"/>
          </w:tcPr>
          <w:p>
            <w:pPr>
              <w:spacing w:line="288" w:lineRule="auto"/>
            </w:pPr>
            <w:r/>
            <w:r>
              <w:rPr>
                <w:rFonts w:ascii="Times New Roman" w:hAnsi="Times New Roman" w:eastAsia="SimSun"/>
                <w:b w:val="0"/>
                <w:sz w:val="21"/>
              </w:rPr>
              <w:t>【●】</w:t>
            </w:r>
          </w:p>
        </w:tc>
        <w:tc>
          <w:tcPr>
            <w:tcW w:type="dxa" w:w="3120"/>
          </w:tcPr>
          <w:p>
            <w:pPr>
              <w:spacing w:line="288" w:lineRule="auto"/>
            </w:pPr>
            <w:r/>
            <w:r>
              <w:rPr>
                <w:rFonts w:ascii="Times New Roman" w:hAnsi="Times New Roman" w:eastAsia="SimSun"/>
                <w:b w:val="0"/>
                <w:sz w:val="21"/>
              </w:rPr>
              <w:t>【●】</w:t>
            </w:r>
          </w:p>
        </w:tc>
      </w:tr>
      <w:tr>
        <w:tc>
          <w:tcPr>
            <w:tcW w:type="dxa" w:w="3120"/>
          </w:tcPr>
          <w:p>
            <w:pPr>
              <w:spacing w:line="288" w:lineRule="auto"/>
            </w:pPr>
            <w:r/>
            <w:r>
              <w:rPr>
                <w:rFonts w:ascii="Times New Roman" w:hAnsi="Times New Roman" w:eastAsia="SimSun"/>
                <w:b w:val="0"/>
                <w:sz w:val="21"/>
              </w:rPr>
              <w:t>是否担任执行事务合伙人</w:t>
            </w:r>
          </w:p>
        </w:tc>
        <w:tc>
          <w:tcPr>
            <w:tcW w:type="dxa" w:w="3120"/>
          </w:tcPr>
          <w:p>
            <w:pPr>
              <w:spacing w:line="288" w:lineRule="auto"/>
            </w:pPr>
            <w:r/>
            <w:r>
              <w:rPr>
                <w:rFonts w:ascii="Times New Roman" w:hAnsi="Times New Roman" w:eastAsia="SimSun"/>
                <w:b w:val="0"/>
                <w:sz w:val="21"/>
              </w:rPr>
              <w:t>【●】</w:t>
            </w:r>
          </w:p>
        </w:tc>
        <w:tc>
          <w:tcPr>
            <w:tcW w:type="dxa" w:w="3120"/>
          </w:tcPr>
          <w:p>
            <w:pPr>
              <w:spacing w:line="288" w:lineRule="auto"/>
            </w:pPr>
            <w:r/>
            <w:r>
              <w:rPr>
                <w:rFonts w:ascii="Times New Roman" w:hAnsi="Times New Roman" w:eastAsia="SimSun"/>
                <w:b w:val="0"/>
                <w:sz w:val="21"/>
              </w:rPr>
              <w:t>【●】（须另经选任程序）</w:t>
            </w:r>
          </w:p>
        </w:tc>
      </w:tr>
      <w:tr>
        <w:tc>
          <w:tcPr>
            <w:tcW w:type="dxa" w:w="3120"/>
          </w:tcPr>
          <w:p>
            <w:pPr>
              <w:spacing w:line="288" w:lineRule="auto"/>
            </w:pPr>
            <w:r/>
            <w:r>
              <w:rPr>
                <w:rFonts w:ascii="Times New Roman" w:hAnsi="Times New Roman" w:eastAsia="SimSun"/>
                <w:b w:val="0"/>
                <w:sz w:val="21"/>
              </w:rPr>
              <w:t>权利负担情况</w:t>
            </w:r>
          </w:p>
        </w:tc>
        <w:tc>
          <w:tcPr>
            <w:tcW w:type="dxa" w:w="3120"/>
          </w:tcPr>
          <w:p>
            <w:pPr>
              <w:spacing w:line="288" w:lineRule="auto"/>
            </w:pPr>
            <w:r/>
            <w:r>
              <w:rPr>
                <w:rFonts w:ascii="Times New Roman" w:hAnsi="Times New Roman" w:eastAsia="SimSun"/>
                <w:b w:val="0"/>
                <w:sz w:val="21"/>
              </w:rPr>
              <w:t>【●】</w:t>
            </w:r>
          </w:p>
        </w:tc>
        <w:tc>
          <w:tcPr>
            <w:tcW w:type="dxa" w:w="3120"/>
          </w:tcPr>
          <w:p>
            <w:pPr>
              <w:spacing w:line="288" w:lineRule="auto"/>
            </w:pPr>
            <w:r/>
            <w:r>
              <w:rPr>
                <w:rFonts w:ascii="Times New Roman" w:hAnsi="Times New Roman" w:eastAsia="SimSun"/>
                <w:b w:val="0"/>
                <w:sz w:val="21"/>
              </w:rPr>
              <w:t>【●】</w:t>
            </w:r>
          </w:p>
        </w:tc>
      </w:tr>
    </w:tbl>
    <w:p>
      <w:pPr>
        <w:spacing w:line="341" w:lineRule="auto" w:before="200" w:after="120"/>
      </w:pPr>
      <w:r>
        <w:rPr>
          <w:rFonts w:ascii="Times New Roman" w:hAnsi="Times New Roman" w:eastAsia="SimHei"/>
          <w:b/>
          <w:sz w:val="28"/>
        </w:rPr>
        <w:t>附件二　移交清单</w:t>
      </w:r>
    </w:p>
    <w:tbl>
      <w:tblPr>
        <w:tblStyle w:val="TableGrid"/>
        <w:tblW w:type="auto" w:w="0"/>
        <w:tblLook w:firstColumn="1" w:firstRow="1" w:lastColumn="0" w:lastRow="0" w:noHBand="0" w:noVBand="1" w:val="04A0"/>
      </w:tblPr>
      <w:tblGrid>
        <w:gridCol w:w="1872"/>
        <w:gridCol w:w="1872"/>
        <w:gridCol w:w="1872"/>
        <w:gridCol w:w="1872"/>
        <w:gridCol w:w="1872"/>
      </w:tblGrid>
      <w:tr>
        <w:tc>
          <w:tcPr>
            <w:tcW w:type="dxa" w:w="1872"/>
          </w:tcPr>
          <w:p>
            <w:pPr>
              <w:spacing w:line="288" w:lineRule="auto"/>
            </w:pPr>
            <w:r/>
            <w:r>
              <w:rPr>
                <w:rFonts w:ascii="Times New Roman" w:hAnsi="Times New Roman" w:eastAsia="SimHei"/>
                <w:b/>
                <w:sz w:val="21"/>
              </w:rPr>
              <w:t>序号</w:t>
            </w:r>
          </w:p>
        </w:tc>
        <w:tc>
          <w:tcPr>
            <w:tcW w:type="dxa" w:w="1872"/>
          </w:tcPr>
          <w:p>
            <w:pPr>
              <w:spacing w:line="288" w:lineRule="auto"/>
            </w:pPr>
            <w:r/>
            <w:r>
              <w:rPr>
                <w:rFonts w:ascii="Times New Roman" w:hAnsi="Times New Roman" w:eastAsia="SimHei"/>
                <w:b/>
                <w:sz w:val="21"/>
              </w:rPr>
              <w:t>移交事项</w:t>
            </w:r>
          </w:p>
        </w:tc>
        <w:tc>
          <w:tcPr>
            <w:tcW w:type="dxa" w:w="1872"/>
          </w:tcPr>
          <w:p>
            <w:pPr>
              <w:spacing w:line="288" w:lineRule="auto"/>
            </w:pPr>
            <w:r/>
            <w:r>
              <w:rPr>
                <w:rFonts w:ascii="Times New Roman" w:hAnsi="Times New Roman" w:eastAsia="SimHei"/>
                <w:b/>
                <w:sz w:val="21"/>
              </w:rPr>
              <w:t>载体/数量</w:t>
            </w:r>
          </w:p>
        </w:tc>
        <w:tc>
          <w:tcPr>
            <w:tcW w:type="dxa" w:w="1872"/>
          </w:tcPr>
          <w:p>
            <w:pPr>
              <w:spacing w:line="288" w:lineRule="auto"/>
            </w:pPr>
            <w:r/>
            <w:r>
              <w:rPr>
                <w:rFonts w:ascii="Times New Roman" w:hAnsi="Times New Roman" w:eastAsia="SimHei"/>
                <w:b/>
                <w:sz w:val="21"/>
              </w:rPr>
              <w:t>移交方式</w:t>
            </w:r>
          </w:p>
        </w:tc>
        <w:tc>
          <w:tcPr>
            <w:tcW w:type="dxa" w:w="1872"/>
          </w:tcPr>
          <w:p>
            <w:pPr>
              <w:spacing w:line="288" w:lineRule="auto"/>
            </w:pPr>
            <w:r/>
            <w:r>
              <w:rPr>
                <w:rFonts w:ascii="Times New Roman" w:hAnsi="Times New Roman" w:eastAsia="SimHei"/>
                <w:b/>
                <w:sz w:val="21"/>
              </w:rPr>
              <w:t>签收确认</w:t>
            </w:r>
          </w:p>
        </w:tc>
      </w:tr>
      <w:tr>
        <w:tc>
          <w:tcPr>
            <w:tcW w:type="dxa" w:w="1872"/>
          </w:tcPr>
          <w:p>
            <w:pPr>
              <w:spacing w:line="288" w:lineRule="auto"/>
            </w:pPr>
            <w:r/>
            <w:r>
              <w:rPr>
                <w:rFonts w:ascii="Times New Roman" w:hAnsi="Times New Roman" w:eastAsia="SimSun"/>
                <w:b w:val="0"/>
                <w:sz w:val="21"/>
              </w:rPr>
              <w:t>1</w:t>
            </w:r>
          </w:p>
        </w:tc>
        <w:tc>
          <w:tcPr>
            <w:tcW w:type="dxa" w:w="1872"/>
          </w:tcPr>
          <w:p>
            <w:pPr>
              <w:spacing w:line="288" w:lineRule="auto"/>
            </w:pPr>
            <w:r/>
            <w:r>
              <w:rPr>
                <w:rFonts w:ascii="Times New Roman" w:hAnsi="Times New Roman" w:eastAsia="SimSun"/>
                <w:b w:val="0"/>
                <w:sz w:val="21"/>
              </w:rPr>
              <w:t>【基金】及执行事务合伙人相关印章（如适用）</w:t>
            </w:r>
          </w:p>
        </w:tc>
        <w:tc>
          <w:tcPr>
            <w:tcW w:type="dxa" w:w="1872"/>
          </w:tcPr>
          <w:p>
            <w:pPr>
              <w:spacing w:line="288" w:lineRule="auto"/>
            </w:pPr>
            <w:r/>
            <w:r>
              <w:rPr>
                <w:rFonts w:ascii="Times New Roman" w:hAnsi="Times New Roman" w:eastAsia="SimSun"/>
                <w:b w:val="0"/>
                <w:sz w:val="21"/>
              </w:rPr>
              <w:t>【●】</w:t>
            </w:r>
          </w:p>
        </w:tc>
        <w:tc>
          <w:tcPr>
            <w:tcW w:type="dxa" w:w="1872"/>
          </w:tcPr>
          <w:p>
            <w:pPr>
              <w:spacing w:line="288" w:lineRule="auto"/>
            </w:pPr>
            <w:r/>
            <w:r>
              <w:rPr>
                <w:rFonts w:ascii="Times New Roman" w:hAnsi="Times New Roman" w:eastAsia="SimSun"/>
                <w:b w:val="0"/>
                <w:sz w:val="21"/>
              </w:rPr>
              <w:t>当面交接</w:t>
            </w:r>
          </w:p>
        </w:tc>
        <w:tc>
          <w:tcPr>
            <w:tcW w:type="dxa" w:w="1872"/>
          </w:tcPr>
          <w:p>
            <w:pPr>
              <w:spacing w:line="288" w:lineRule="auto"/>
            </w:pPr>
            <w:r/>
            <w:r>
              <w:rPr>
                <w:rFonts w:ascii="Times New Roman" w:hAnsi="Times New Roman" w:eastAsia="SimSun"/>
                <w:b w:val="0"/>
                <w:sz w:val="21"/>
              </w:rPr>
              <w:t>【●】</w:t>
            </w:r>
          </w:p>
        </w:tc>
      </w:tr>
      <w:tr>
        <w:tc>
          <w:tcPr>
            <w:tcW w:type="dxa" w:w="1872"/>
          </w:tcPr>
          <w:p>
            <w:pPr>
              <w:spacing w:line="288" w:lineRule="auto"/>
            </w:pPr>
            <w:r/>
            <w:r>
              <w:rPr>
                <w:rFonts w:ascii="Times New Roman" w:hAnsi="Times New Roman" w:eastAsia="SimSun"/>
                <w:b w:val="0"/>
                <w:sz w:val="21"/>
              </w:rPr>
              <w:t>2</w:t>
            </w:r>
          </w:p>
        </w:tc>
        <w:tc>
          <w:tcPr>
            <w:tcW w:type="dxa" w:w="1872"/>
          </w:tcPr>
          <w:p>
            <w:pPr>
              <w:spacing w:line="288" w:lineRule="auto"/>
            </w:pPr>
            <w:r/>
            <w:r>
              <w:rPr>
                <w:rFonts w:ascii="Times New Roman" w:hAnsi="Times New Roman" w:eastAsia="SimSun"/>
                <w:b w:val="0"/>
                <w:sz w:val="21"/>
              </w:rPr>
              <w:t>营业执照正副本、备案证明等证照</w:t>
            </w:r>
          </w:p>
        </w:tc>
        <w:tc>
          <w:tcPr>
            <w:tcW w:type="dxa" w:w="1872"/>
          </w:tcPr>
          <w:p>
            <w:pPr>
              <w:spacing w:line="288" w:lineRule="auto"/>
            </w:pPr>
            <w:r/>
            <w:r>
              <w:rPr>
                <w:rFonts w:ascii="Times New Roman" w:hAnsi="Times New Roman" w:eastAsia="SimSun"/>
                <w:b w:val="0"/>
                <w:sz w:val="21"/>
              </w:rPr>
              <w:t>【●】</w:t>
            </w:r>
          </w:p>
        </w:tc>
        <w:tc>
          <w:tcPr>
            <w:tcW w:type="dxa" w:w="1872"/>
          </w:tcPr>
          <w:p>
            <w:pPr>
              <w:spacing w:line="288" w:lineRule="auto"/>
            </w:pPr>
            <w:r/>
            <w:r>
              <w:rPr>
                <w:rFonts w:ascii="Times New Roman" w:hAnsi="Times New Roman" w:eastAsia="SimSun"/>
                <w:b w:val="0"/>
                <w:sz w:val="21"/>
              </w:rPr>
              <w:t>当面交接</w:t>
            </w:r>
          </w:p>
        </w:tc>
        <w:tc>
          <w:tcPr>
            <w:tcW w:type="dxa" w:w="1872"/>
          </w:tcPr>
          <w:p>
            <w:pPr>
              <w:spacing w:line="288" w:lineRule="auto"/>
            </w:pPr>
            <w:r/>
            <w:r>
              <w:rPr>
                <w:rFonts w:ascii="Times New Roman" w:hAnsi="Times New Roman" w:eastAsia="SimSun"/>
                <w:b w:val="0"/>
                <w:sz w:val="21"/>
              </w:rPr>
              <w:t>【●】</w:t>
            </w:r>
          </w:p>
        </w:tc>
      </w:tr>
      <w:tr>
        <w:tc>
          <w:tcPr>
            <w:tcW w:type="dxa" w:w="1872"/>
          </w:tcPr>
          <w:p>
            <w:pPr>
              <w:spacing w:line="288" w:lineRule="auto"/>
            </w:pPr>
            <w:r/>
            <w:r>
              <w:rPr>
                <w:rFonts w:ascii="Times New Roman" w:hAnsi="Times New Roman" w:eastAsia="SimSun"/>
                <w:b w:val="0"/>
                <w:sz w:val="21"/>
              </w:rPr>
              <w:t>3</w:t>
            </w:r>
          </w:p>
        </w:tc>
        <w:tc>
          <w:tcPr>
            <w:tcW w:type="dxa" w:w="1872"/>
          </w:tcPr>
          <w:p>
            <w:pPr>
              <w:spacing w:line="288" w:lineRule="auto"/>
            </w:pPr>
            <w:r/>
            <w:r>
              <w:rPr>
                <w:rFonts w:ascii="Times New Roman" w:hAnsi="Times New Roman" w:eastAsia="SimSun"/>
                <w:b w:val="0"/>
                <w:sz w:val="21"/>
              </w:rPr>
              <w:t>会计账簿、会计凭证及财务报表</w:t>
            </w:r>
          </w:p>
        </w:tc>
        <w:tc>
          <w:tcPr>
            <w:tcW w:type="dxa" w:w="1872"/>
          </w:tcPr>
          <w:p>
            <w:pPr>
              <w:spacing w:line="288" w:lineRule="auto"/>
            </w:pPr>
            <w:r/>
            <w:r>
              <w:rPr>
                <w:rFonts w:ascii="Times New Roman" w:hAnsi="Times New Roman" w:eastAsia="SimSun"/>
                <w:b w:val="0"/>
                <w:sz w:val="21"/>
              </w:rPr>
              <w:t>【●】</w:t>
            </w:r>
          </w:p>
        </w:tc>
        <w:tc>
          <w:tcPr>
            <w:tcW w:type="dxa" w:w="1872"/>
          </w:tcPr>
          <w:p>
            <w:pPr>
              <w:spacing w:line="288" w:lineRule="auto"/>
            </w:pPr>
            <w:r/>
            <w:r>
              <w:rPr>
                <w:rFonts w:ascii="Times New Roman" w:hAnsi="Times New Roman" w:eastAsia="SimSun"/>
                <w:b w:val="0"/>
                <w:sz w:val="21"/>
              </w:rPr>
              <w:t>当面交接/电子移交</w:t>
            </w:r>
          </w:p>
        </w:tc>
        <w:tc>
          <w:tcPr>
            <w:tcW w:type="dxa" w:w="1872"/>
          </w:tcPr>
          <w:p>
            <w:pPr>
              <w:spacing w:line="288" w:lineRule="auto"/>
            </w:pPr>
            <w:r/>
            <w:r>
              <w:rPr>
                <w:rFonts w:ascii="Times New Roman" w:hAnsi="Times New Roman" w:eastAsia="SimSun"/>
                <w:b w:val="0"/>
                <w:sz w:val="21"/>
              </w:rPr>
              <w:t>【●】</w:t>
            </w:r>
          </w:p>
        </w:tc>
      </w:tr>
      <w:tr>
        <w:tc>
          <w:tcPr>
            <w:tcW w:type="dxa" w:w="1872"/>
          </w:tcPr>
          <w:p>
            <w:pPr>
              <w:spacing w:line="288" w:lineRule="auto"/>
            </w:pPr>
            <w:r/>
            <w:r>
              <w:rPr>
                <w:rFonts w:ascii="Times New Roman" w:hAnsi="Times New Roman" w:eastAsia="SimSun"/>
                <w:b w:val="0"/>
                <w:sz w:val="21"/>
              </w:rPr>
              <w:t>4</w:t>
            </w:r>
          </w:p>
        </w:tc>
        <w:tc>
          <w:tcPr>
            <w:tcW w:type="dxa" w:w="1872"/>
          </w:tcPr>
          <w:p>
            <w:pPr>
              <w:spacing w:line="288" w:lineRule="auto"/>
            </w:pPr>
            <w:r/>
            <w:r>
              <w:rPr>
                <w:rFonts w:ascii="Times New Roman" w:hAnsi="Times New Roman" w:eastAsia="SimSun"/>
                <w:b w:val="0"/>
                <w:sz w:val="21"/>
              </w:rPr>
              <w:t>投资档案（投资决策文件、被投企业交易文件、投后管理资料）</w:t>
            </w:r>
          </w:p>
        </w:tc>
        <w:tc>
          <w:tcPr>
            <w:tcW w:type="dxa" w:w="1872"/>
          </w:tcPr>
          <w:p>
            <w:pPr>
              <w:spacing w:line="288" w:lineRule="auto"/>
            </w:pPr>
            <w:r/>
            <w:r>
              <w:rPr>
                <w:rFonts w:ascii="Times New Roman" w:hAnsi="Times New Roman" w:eastAsia="SimSun"/>
                <w:b w:val="0"/>
                <w:sz w:val="21"/>
              </w:rPr>
              <w:t>【●】</w:t>
            </w:r>
          </w:p>
        </w:tc>
        <w:tc>
          <w:tcPr>
            <w:tcW w:type="dxa" w:w="1872"/>
          </w:tcPr>
          <w:p>
            <w:pPr>
              <w:spacing w:line="288" w:lineRule="auto"/>
            </w:pPr>
            <w:r/>
            <w:r>
              <w:rPr>
                <w:rFonts w:ascii="Times New Roman" w:hAnsi="Times New Roman" w:eastAsia="SimSun"/>
                <w:b w:val="0"/>
                <w:sz w:val="21"/>
              </w:rPr>
              <w:t>当面交接/电子移交</w:t>
            </w:r>
          </w:p>
        </w:tc>
        <w:tc>
          <w:tcPr>
            <w:tcW w:type="dxa" w:w="1872"/>
          </w:tcPr>
          <w:p>
            <w:pPr>
              <w:spacing w:line="288" w:lineRule="auto"/>
            </w:pPr>
            <w:r/>
            <w:r>
              <w:rPr>
                <w:rFonts w:ascii="Times New Roman" w:hAnsi="Times New Roman" w:eastAsia="SimSun"/>
                <w:b w:val="0"/>
                <w:sz w:val="21"/>
              </w:rPr>
              <w:t>【●】</w:t>
            </w:r>
          </w:p>
        </w:tc>
      </w:tr>
      <w:tr>
        <w:tc>
          <w:tcPr>
            <w:tcW w:type="dxa" w:w="1872"/>
          </w:tcPr>
          <w:p>
            <w:pPr>
              <w:spacing w:line="288" w:lineRule="auto"/>
            </w:pPr>
            <w:r/>
            <w:r>
              <w:rPr>
                <w:rFonts w:ascii="Times New Roman" w:hAnsi="Times New Roman" w:eastAsia="SimSun"/>
                <w:b w:val="0"/>
                <w:sz w:val="21"/>
              </w:rPr>
              <w:t>5</w:t>
            </w:r>
          </w:p>
        </w:tc>
        <w:tc>
          <w:tcPr>
            <w:tcW w:type="dxa" w:w="1872"/>
          </w:tcPr>
          <w:p>
            <w:pPr>
              <w:spacing w:line="288" w:lineRule="auto"/>
            </w:pPr>
            <w:r/>
            <w:r>
              <w:rPr>
                <w:rFonts w:ascii="Times New Roman" w:hAnsi="Times New Roman" w:eastAsia="SimSun"/>
                <w:b w:val="0"/>
                <w:sz w:val="21"/>
              </w:rPr>
              <w:t>募集结算资金专用账户资料及募集监督协议</w:t>
            </w:r>
          </w:p>
        </w:tc>
        <w:tc>
          <w:tcPr>
            <w:tcW w:type="dxa" w:w="1872"/>
          </w:tcPr>
          <w:p>
            <w:pPr>
              <w:spacing w:line="288" w:lineRule="auto"/>
            </w:pPr>
            <w:r/>
            <w:r>
              <w:rPr>
                <w:rFonts w:ascii="Times New Roman" w:hAnsi="Times New Roman" w:eastAsia="SimSun"/>
                <w:b w:val="0"/>
                <w:sz w:val="21"/>
              </w:rPr>
              <w:t>【●】</w:t>
            </w:r>
          </w:p>
        </w:tc>
        <w:tc>
          <w:tcPr>
            <w:tcW w:type="dxa" w:w="1872"/>
          </w:tcPr>
          <w:p>
            <w:pPr>
              <w:spacing w:line="288" w:lineRule="auto"/>
            </w:pPr>
            <w:r/>
            <w:r>
              <w:rPr>
                <w:rFonts w:ascii="Times New Roman" w:hAnsi="Times New Roman" w:eastAsia="SimSun"/>
                <w:b w:val="0"/>
                <w:sz w:val="21"/>
              </w:rPr>
              <w:t>当面交接</w:t>
            </w:r>
          </w:p>
        </w:tc>
        <w:tc>
          <w:tcPr>
            <w:tcW w:type="dxa" w:w="1872"/>
          </w:tcPr>
          <w:p>
            <w:pPr>
              <w:spacing w:line="288" w:lineRule="auto"/>
            </w:pPr>
            <w:r/>
            <w:r>
              <w:rPr>
                <w:rFonts w:ascii="Times New Roman" w:hAnsi="Times New Roman" w:eastAsia="SimSun"/>
                <w:b w:val="0"/>
                <w:sz w:val="21"/>
              </w:rPr>
              <w:t>【●】</w:t>
            </w:r>
          </w:p>
        </w:tc>
      </w:tr>
      <w:tr>
        <w:tc>
          <w:tcPr>
            <w:tcW w:type="dxa" w:w="1872"/>
          </w:tcPr>
          <w:p>
            <w:pPr>
              <w:spacing w:line="288" w:lineRule="auto"/>
            </w:pPr>
            <w:r/>
            <w:r>
              <w:rPr>
                <w:rFonts w:ascii="Times New Roman" w:hAnsi="Times New Roman" w:eastAsia="SimSun"/>
                <w:b w:val="0"/>
                <w:sz w:val="21"/>
              </w:rPr>
              <w:t>6</w:t>
            </w:r>
          </w:p>
        </w:tc>
        <w:tc>
          <w:tcPr>
            <w:tcW w:type="dxa" w:w="1872"/>
          </w:tcPr>
          <w:p>
            <w:pPr>
              <w:spacing w:line="288" w:lineRule="auto"/>
            </w:pPr>
            <w:r/>
            <w:r>
              <w:rPr>
                <w:rFonts w:ascii="Times New Roman" w:hAnsi="Times New Roman" w:eastAsia="SimSun"/>
                <w:b w:val="0"/>
                <w:sz w:val="21"/>
              </w:rPr>
              <w:t>基金合同、合伙协议及历次修正案正本</w:t>
            </w:r>
          </w:p>
        </w:tc>
        <w:tc>
          <w:tcPr>
            <w:tcW w:type="dxa" w:w="1872"/>
          </w:tcPr>
          <w:p>
            <w:pPr>
              <w:spacing w:line="288" w:lineRule="auto"/>
            </w:pPr>
            <w:r/>
            <w:r>
              <w:rPr>
                <w:rFonts w:ascii="Times New Roman" w:hAnsi="Times New Roman" w:eastAsia="SimSun"/>
                <w:b w:val="0"/>
                <w:sz w:val="21"/>
              </w:rPr>
              <w:t>【●】</w:t>
            </w:r>
          </w:p>
        </w:tc>
        <w:tc>
          <w:tcPr>
            <w:tcW w:type="dxa" w:w="1872"/>
          </w:tcPr>
          <w:p>
            <w:pPr>
              <w:spacing w:line="288" w:lineRule="auto"/>
            </w:pPr>
            <w:r/>
            <w:r>
              <w:rPr>
                <w:rFonts w:ascii="Times New Roman" w:hAnsi="Times New Roman" w:eastAsia="SimSun"/>
                <w:b w:val="0"/>
                <w:sz w:val="21"/>
              </w:rPr>
              <w:t>当面交接</w:t>
            </w:r>
          </w:p>
        </w:tc>
        <w:tc>
          <w:tcPr>
            <w:tcW w:type="dxa" w:w="1872"/>
          </w:tcPr>
          <w:p>
            <w:pPr>
              <w:spacing w:line="288" w:lineRule="auto"/>
            </w:pPr>
            <w:r/>
            <w:r>
              <w:rPr>
                <w:rFonts w:ascii="Times New Roman" w:hAnsi="Times New Roman" w:eastAsia="SimSun"/>
                <w:b w:val="0"/>
                <w:sz w:val="21"/>
              </w:rPr>
              <w:t>【●】</w:t>
            </w:r>
          </w:p>
        </w:tc>
      </w:tr>
      <w:tr>
        <w:tc>
          <w:tcPr>
            <w:tcW w:type="dxa" w:w="1872"/>
          </w:tcPr>
          <w:p>
            <w:pPr>
              <w:spacing w:line="288" w:lineRule="auto"/>
            </w:pPr>
            <w:r/>
            <w:r>
              <w:rPr>
                <w:rFonts w:ascii="Times New Roman" w:hAnsi="Times New Roman" w:eastAsia="SimSun"/>
                <w:b w:val="0"/>
                <w:sz w:val="21"/>
              </w:rPr>
              <w:t>7</w:t>
            </w:r>
          </w:p>
        </w:tc>
        <w:tc>
          <w:tcPr>
            <w:tcW w:type="dxa" w:w="1872"/>
          </w:tcPr>
          <w:p>
            <w:pPr>
              <w:spacing w:line="288" w:lineRule="auto"/>
            </w:pPr>
            <w:r/>
            <w:r>
              <w:rPr>
                <w:rFonts w:ascii="Times New Roman" w:hAnsi="Times New Roman" w:eastAsia="SimSun"/>
                <w:b w:val="0"/>
                <w:sz w:val="21"/>
              </w:rPr>
              <w:t>监管报送系统账户信息（如适用）</w:t>
            </w:r>
          </w:p>
        </w:tc>
        <w:tc>
          <w:tcPr>
            <w:tcW w:type="dxa" w:w="1872"/>
          </w:tcPr>
          <w:p>
            <w:pPr>
              <w:spacing w:line="288" w:lineRule="auto"/>
            </w:pPr>
            <w:r/>
            <w:r>
              <w:rPr>
                <w:rFonts w:ascii="Times New Roman" w:hAnsi="Times New Roman" w:eastAsia="SimSun"/>
                <w:b w:val="0"/>
                <w:sz w:val="21"/>
              </w:rPr>
              <w:t>【●】</w:t>
            </w:r>
          </w:p>
        </w:tc>
        <w:tc>
          <w:tcPr>
            <w:tcW w:type="dxa" w:w="1872"/>
          </w:tcPr>
          <w:p>
            <w:pPr>
              <w:spacing w:line="288" w:lineRule="auto"/>
            </w:pPr>
            <w:r/>
            <w:r>
              <w:rPr>
                <w:rFonts w:ascii="Times New Roman" w:hAnsi="Times New Roman" w:eastAsia="SimSun"/>
                <w:b w:val="0"/>
                <w:sz w:val="21"/>
              </w:rPr>
              <w:t>按规定办理变更</w:t>
            </w:r>
          </w:p>
        </w:tc>
        <w:tc>
          <w:tcPr>
            <w:tcW w:type="dxa" w:w="1872"/>
          </w:tcPr>
          <w:p>
            <w:pPr>
              <w:spacing w:line="288" w:lineRule="auto"/>
            </w:pPr>
            <w:r/>
            <w:r>
              <w:rPr>
                <w:rFonts w:ascii="Times New Roman" w:hAnsi="Times New Roman" w:eastAsia="SimSun"/>
                <w:b w:val="0"/>
                <w:sz w:val="21"/>
              </w:rPr>
              <w:t>【●】</w:t>
            </w:r>
          </w:p>
        </w:tc>
      </w:tr>
      <w:tr>
        <w:tc>
          <w:tcPr>
            <w:tcW w:type="dxa" w:w="1872"/>
          </w:tcPr>
          <w:p>
            <w:pPr>
              <w:spacing w:line="288" w:lineRule="auto"/>
            </w:pPr>
            <w:r/>
            <w:r>
              <w:rPr>
                <w:rFonts w:ascii="Times New Roman" w:hAnsi="Times New Roman" w:eastAsia="SimSun"/>
                <w:b w:val="0"/>
                <w:sz w:val="21"/>
              </w:rPr>
              <w:t>8</w:t>
            </w:r>
          </w:p>
        </w:tc>
        <w:tc>
          <w:tcPr>
            <w:tcW w:type="dxa" w:w="1872"/>
          </w:tcPr>
          <w:p>
            <w:pPr>
              <w:spacing w:line="288" w:lineRule="auto"/>
            </w:pPr>
            <w:r/>
            <w:r>
              <w:rPr>
                <w:rFonts w:ascii="Times New Roman" w:hAnsi="Times New Roman" w:eastAsia="SimSun"/>
                <w:b w:val="0"/>
                <w:sz w:val="21"/>
              </w:rPr>
              <w:t>其他：【●】</w:t>
            </w:r>
          </w:p>
        </w:tc>
        <w:tc>
          <w:tcPr>
            <w:tcW w:type="dxa" w:w="1872"/>
          </w:tcPr>
          <w:p>
            <w:pPr>
              <w:spacing w:line="288" w:lineRule="auto"/>
            </w:pPr>
            <w:r/>
            <w:r>
              <w:rPr>
                <w:rFonts w:ascii="Times New Roman" w:hAnsi="Times New Roman" w:eastAsia="SimSun"/>
                <w:b w:val="0"/>
                <w:sz w:val="21"/>
              </w:rPr>
              <w:t>【●】</w:t>
            </w:r>
          </w:p>
        </w:tc>
        <w:tc>
          <w:tcPr>
            <w:tcW w:type="dxa" w:w="1872"/>
          </w:tcPr>
          <w:p>
            <w:pPr>
              <w:spacing w:line="288" w:lineRule="auto"/>
            </w:pPr>
            <w:r/>
            <w:r>
              <w:rPr>
                <w:rFonts w:ascii="Times New Roman" w:hAnsi="Times New Roman" w:eastAsia="SimSun"/>
                <w:b w:val="0"/>
                <w:sz w:val="21"/>
              </w:rPr>
              <w:t>【●】</w:t>
            </w:r>
          </w:p>
        </w:tc>
        <w:tc>
          <w:tcPr>
            <w:tcW w:type="dxa" w:w="1872"/>
          </w:tcPr>
          <w:p>
            <w:pPr>
              <w:spacing w:line="288" w:lineRule="auto"/>
            </w:pPr>
            <w:r/>
            <w:r>
              <w:rPr>
                <w:rFonts w:ascii="Times New Roman" w:hAnsi="Times New Roman" w:eastAsia="SimSun"/>
                <w:b w:val="0"/>
                <w:sz w:val="21"/>
              </w:rPr>
              <w:t>【●】</w:t>
            </w:r>
          </w:p>
        </w:tc>
      </w:tr>
    </w:tbl>
    <w:p>
      <w:pPr>
        <w:spacing w:line="319" w:lineRule="auto" w:after="40"/>
        <w:jc w:val="both"/>
      </w:pPr>
      <w:r>
        <w:rPr>
          <w:rFonts w:ascii="Times New Roman" w:hAnsi="Times New Roman" w:eastAsia="SimSun"/>
          <w:b w:val="0"/>
          <w:sz w:val="24"/>
        </w:rPr>
      </w:r>
    </w:p>
    <w:p>
      <w:pPr>
        <w:spacing w:line="300" w:lineRule="auto" w:after="60"/>
        <w:jc w:val="both"/>
      </w:pPr>
      <w:r>
        <w:rPr>
          <w:rFonts w:ascii="Times New Roman" w:hAnsi="Times New Roman" w:eastAsia="SimSun"/>
          <w:b w:val="0"/>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01_普通合伙人（GP）份额转让协议</dc:title>
  <dc:subject/>
  <dc:creator>谭棉花律师法律文书库</dc:creator>
  <cp:keywords/>
  <dc:description>generated by python-docx</dc:description>
  <cp:lastModifiedBy/>
  <cp:revision>1</cp:revision>
  <dcterms:created xsi:type="dcterms:W3CDTF">2013-12-23T23:15:00Z</dcterms:created>
  <dcterms:modified xsi:type="dcterms:W3CDTF">2013-12-23T23:15:00Z</dcterms:modified>
  <cp:category/>
</cp:coreProperties>
</file>