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基金份额转让协议包</w:t>
      </w:r>
    </w:p>
    <w:p>
      <w:pPr>
        <w:spacing w:line="360" w:lineRule="auto" w:after="200"/>
        <w:jc w:val="center"/>
      </w:pPr>
      <w:r>
        <w:rPr>
          <w:rFonts w:ascii="Times New Roman" w:hAnsi="Times New Roman" w:eastAsia="SimSun"/>
          <w:b w:val="0"/>
          <w:sz w:val="28"/>
        </w:rPr>
        <w:t>使用说明</w:t>
      </w:r>
    </w:p>
    <w:p>
      <w:pPr>
        <w:spacing w:line="360" w:lineRule="auto" w:after="200"/>
        <w:jc w:val="center"/>
      </w:pPr>
      <w:r>
        <w:rPr>
          <w:rFonts w:ascii="Times New Roman" w:hAnsi="Times New Roman" w:eastAsia="SimSun"/>
          <w:b w:val="0"/>
          <w:sz w:val="28"/>
        </w:rPr>
        <w:t>（示范文本·使用前请通读）</w:t>
      </w:r>
    </w:p>
    <w:p>
      <w:pPr>
        <w:spacing w:line="341" w:lineRule="auto" w:before="200" w:after="120"/>
      </w:pPr>
      <w:r>
        <w:rPr>
          <w:rFonts w:ascii="Times New Roman" w:hAnsi="Times New Roman" w:eastAsia="SimHei"/>
          <w:b/>
          <w:sz w:val="28"/>
        </w:rPr>
        <w:t>一、本包适用场景</w:t>
      </w:r>
    </w:p>
    <w:p>
      <w:pPr>
        <w:spacing w:line="319" w:lineRule="auto" w:after="40"/>
        <w:jc w:val="both"/>
      </w:pPr>
      <w:r>
        <w:rPr>
          <w:rFonts w:ascii="Times New Roman" w:hAnsi="Times New Roman" w:eastAsia="SimSun"/>
          <w:b w:val="0"/>
          <w:sz w:val="24"/>
        </w:rPr>
        <w:t>本文件包适用于已在中国证券投资基金业协会（下称协会）备案的合伙型（有限合伙）私募基金中，合伙人转让财产份额退出、受让方进入的成套安排，覆盖两条轨道：普通合伙人（GP）份额转让（含双 GP 结构中一名 GP 退出），以及有限合伙人（LP）份额对外转让；并配套处理随之而来的执行事务合伙人变更、私募基金管理人变更、协会变更手续与工商变更登记。</w:t>
      </w:r>
    </w:p>
    <w:p>
      <w:pPr>
        <w:spacing w:line="319" w:lineRule="auto" w:after="40"/>
        <w:jc w:val="both"/>
      </w:pPr>
      <w:r>
        <w:rPr>
          <w:rFonts w:ascii="Times New Roman" w:hAnsi="Times New Roman" w:eastAsia="SimSun"/>
          <w:b w:val="0"/>
          <w:sz w:val="24"/>
        </w:rPr>
        <w:t>与本文书库其他包的分工：有限责任公司股权的转让、代持与回购，请改用《股权转让、代持与回购协议包》；持股平台激励份额的授予与退出，请改用《员工股权激励协议包》。契约型、公司型基金不适用本包。</w:t>
      </w:r>
    </w:p>
    <w:p>
      <w:pPr>
        <w:spacing w:line="341" w:lineRule="auto" w:before="200" w:after="120"/>
      </w:pPr>
      <w:r>
        <w:rPr>
          <w:rFonts w:ascii="Times New Roman" w:hAnsi="Times New Roman" w:eastAsia="SimHei"/>
          <w:b/>
          <w:sz w:val="28"/>
        </w:rPr>
        <w:t>二、先分岔：转让的是哪种角色</w:t>
      </w:r>
    </w:p>
    <w:p>
      <w:pPr>
        <w:spacing w:line="319" w:lineRule="auto" w:after="40"/>
        <w:jc w:val="both"/>
      </w:pPr>
      <w:r>
        <w:rPr>
          <w:rFonts w:ascii="Times New Roman" w:hAnsi="Times New Roman" w:eastAsia="SimSun"/>
          <w:b w:val="0"/>
          <w:sz w:val="24"/>
        </w:rPr>
        <w:t>使用前先判断拟转让份额的合伙人在基金中的角色，四种情形对应不同的文件组合与办理线：</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情形</w:t>
            </w:r>
          </w:p>
        </w:tc>
        <w:tc>
          <w:tcPr>
            <w:tcW w:type="dxa" w:w="2340"/>
          </w:tcPr>
          <w:p>
            <w:pPr>
              <w:spacing w:line="288" w:lineRule="auto"/>
            </w:pPr>
            <w:r/>
            <w:r>
              <w:rPr>
                <w:rFonts w:ascii="Times New Roman" w:hAnsi="Times New Roman" w:eastAsia="SimHei"/>
                <w:b/>
                <w:sz w:val="21"/>
              </w:rPr>
              <w:t>转让方角色</w:t>
            </w:r>
          </w:p>
        </w:tc>
        <w:tc>
          <w:tcPr>
            <w:tcW w:type="dxa" w:w="2340"/>
          </w:tcPr>
          <w:p>
            <w:pPr>
              <w:spacing w:line="288" w:lineRule="auto"/>
            </w:pPr>
            <w:r/>
            <w:r>
              <w:rPr>
                <w:rFonts w:ascii="Times New Roman" w:hAnsi="Times New Roman" w:eastAsia="SimHei"/>
                <w:b/>
                <w:sz w:val="21"/>
              </w:rPr>
              <w:t>核心文件组合</w:t>
            </w:r>
          </w:p>
        </w:tc>
        <w:tc>
          <w:tcPr>
            <w:tcW w:type="dxa" w:w="2340"/>
          </w:tcPr>
          <w:p>
            <w:pPr>
              <w:spacing w:line="288" w:lineRule="auto"/>
            </w:pPr>
            <w:r/>
            <w:r>
              <w:rPr>
                <w:rFonts w:ascii="Times New Roman" w:hAnsi="Times New Roman" w:eastAsia="SimHei"/>
                <w:b/>
                <w:sz w:val="21"/>
              </w:rPr>
              <w:t>协会办理线</w:t>
            </w:r>
          </w:p>
        </w:tc>
      </w:tr>
      <w:tr>
        <w:tc>
          <w:tcPr>
            <w:tcW w:type="dxa" w:w="2340"/>
          </w:tcPr>
          <w:p>
            <w:pPr>
              <w:spacing w:line="288" w:lineRule="auto"/>
            </w:pPr>
            <w:r/>
            <w:r>
              <w:rPr>
                <w:rFonts w:ascii="Times New Roman" w:hAnsi="Times New Roman" w:eastAsia="SimSun"/>
                <w:b w:val="0"/>
                <w:sz w:val="21"/>
              </w:rPr>
              <w:t>A</w:t>
            </w:r>
          </w:p>
        </w:tc>
        <w:tc>
          <w:tcPr>
            <w:tcW w:type="dxa" w:w="2340"/>
          </w:tcPr>
          <w:p>
            <w:pPr>
              <w:spacing w:line="288" w:lineRule="auto"/>
            </w:pPr>
            <w:r/>
            <w:r>
              <w:rPr>
                <w:rFonts w:ascii="Times New Roman" w:hAnsi="Times New Roman" w:eastAsia="SimSun"/>
                <w:b w:val="0"/>
                <w:sz w:val="21"/>
              </w:rPr>
              <w:t>管理人＋执行事务合伙人（典型主 GP）</w:t>
            </w:r>
          </w:p>
        </w:tc>
        <w:tc>
          <w:tcPr>
            <w:tcW w:type="dxa" w:w="2340"/>
          </w:tcPr>
          <w:p>
            <w:pPr>
              <w:spacing w:line="288" w:lineRule="auto"/>
            </w:pPr>
            <w:r/>
            <w:r>
              <w:rPr>
                <w:rFonts w:ascii="Times New Roman" w:hAnsi="Times New Roman" w:eastAsia="SimSun"/>
                <w:b w:val="0"/>
                <w:sz w:val="21"/>
              </w:rPr>
              <w:t>01＋03＋05＋06＋07＋10＋11＋12＋13＋14</w:t>
            </w:r>
          </w:p>
        </w:tc>
        <w:tc>
          <w:tcPr>
            <w:tcW w:type="dxa" w:w="2340"/>
          </w:tcPr>
          <w:p>
            <w:pPr>
              <w:spacing w:line="288" w:lineRule="auto"/>
            </w:pPr>
            <w:r/>
            <w:r>
              <w:rPr>
                <w:rFonts w:ascii="Times New Roman" w:hAnsi="Times New Roman" w:eastAsia="SimSun"/>
                <w:b w:val="0"/>
                <w:sz w:val="21"/>
              </w:rPr>
              <w:t>变更管理人：备案指引第 3 号线</w:t>
            </w:r>
          </w:p>
        </w:tc>
      </w:tr>
      <w:tr>
        <w:tc>
          <w:tcPr>
            <w:tcW w:type="dxa" w:w="2340"/>
          </w:tcPr>
          <w:p>
            <w:pPr>
              <w:spacing w:line="288" w:lineRule="auto"/>
            </w:pPr>
            <w:r/>
            <w:r>
              <w:rPr>
                <w:rFonts w:ascii="Times New Roman" w:hAnsi="Times New Roman" w:eastAsia="SimSun"/>
                <w:b w:val="0"/>
                <w:sz w:val="21"/>
              </w:rPr>
              <w:t>B</w:t>
            </w:r>
          </w:p>
        </w:tc>
        <w:tc>
          <w:tcPr>
            <w:tcW w:type="dxa" w:w="2340"/>
          </w:tcPr>
          <w:p>
            <w:pPr>
              <w:spacing w:line="288" w:lineRule="auto"/>
            </w:pPr>
            <w:r/>
            <w:r>
              <w:rPr>
                <w:rFonts w:ascii="Times New Roman" w:hAnsi="Times New Roman" w:eastAsia="SimSun"/>
                <w:b w:val="0"/>
                <w:sz w:val="21"/>
              </w:rPr>
              <w:t>执行事务合伙人但不担任管理人</w:t>
            </w:r>
          </w:p>
        </w:tc>
        <w:tc>
          <w:tcPr>
            <w:tcW w:type="dxa" w:w="2340"/>
          </w:tcPr>
          <w:p>
            <w:pPr>
              <w:spacing w:line="288" w:lineRule="auto"/>
            </w:pPr>
            <w:r/>
            <w:r>
              <w:rPr>
                <w:rFonts w:ascii="Times New Roman" w:hAnsi="Times New Roman" w:eastAsia="SimSun"/>
                <w:b w:val="0"/>
                <w:sz w:val="21"/>
              </w:rPr>
              <w:t>01＋03＋05＋06＋07＋12＋14</w:t>
            </w:r>
          </w:p>
        </w:tc>
        <w:tc>
          <w:tcPr>
            <w:tcW w:type="dxa" w:w="2340"/>
          </w:tcPr>
          <w:p>
            <w:pPr>
              <w:spacing w:line="288" w:lineRule="auto"/>
            </w:pPr>
            <w:r/>
            <w:r>
              <w:rPr>
                <w:rFonts w:ascii="Times New Roman" w:hAnsi="Times New Roman" w:eastAsia="SimSun"/>
                <w:b w:val="0"/>
                <w:sz w:val="21"/>
              </w:rPr>
              <w:t>基金信息变更：登记备案办法第五十五条线</w:t>
            </w:r>
          </w:p>
        </w:tc>
      </w:tr>
      <w:tr>
        <w:tc>
          <w:tcPr>
            <w:tcW w:type="dxa" w:w="2340"/>
          </w:tcPr>
          <w:p>
            <w:pPr>
              <w:spacing w:line="288" w:lineRule="auto"/>
            </w:pPr>
            <w:r/>
            <w:r>
              <w:rPr>
                <w:rFonts w:ascii="Times New Roman" w:hAnsi="Times New Roman" w:eastAsia="SimSun"/>
                <w:b w:val="0"/>
                <w:sz w:val="21"/>
              </w:rPr>
              <w:t>C</w:t>
            </w:r>
          </w:p>
        </w:tc>
        <w:tc>
          <w:tcPr>
            <w:tcW w:type="dxa" w:w="2340"/>
          </w:tcPr>
          <w:p>
            <w:pPr>
              <w:spacing w:line="288" w:lineRule="auto"/>
            </w:pPr>
            <w:r/>
            <w:r>
              <w:rPr>
                <w:rFonts w:ascii="Times New Roman" w:hAnsi="Times New Roman" w:eastAsia="SimSun"/>
                <w:b w:val="0"/>
                <w:sz w:val="21"/>
              </w:rPr>
              <w:t>纯 GP（不执行事务、不任管理人）</w:t>
            </w:r>
          </w:p>
        </w:tc>
        <w:tc>
          <w:tcPr>
            <w:tcW w:type="dxa" w:w="2340"/>
          </w:tcPr>
          <w:p>
            <w:pPr>
              <w:spacing w:line="288" w:lineRule="auto"/>
            </w:pPr>
            <w:r/>
            <w:r>
              <w:rPr>
                <w:rFonts w:ascii="Times New Roman" w:hAnsi="Times New Roman" w:eastAsia="SimSun"/>
                <w:b w:val="0"/>
                <w:sz w:val="21"/>
              </w:rPr>
              <w:t>01＋03＋05＋06＋07＋14</w:t>
            </w:r>
          </w:p>
        </w:tc>
        <w:tc>
          <w:tcPr>
            <w:tcW w:type="dxa" w:w="2340"/>
          </w:tcPr>
          <w:p>
            <w:pPr>
              <w:spacing w:line="288" w:lineRule="auto"/>
            </w:pPr>
            <w:r/>
            <w:r>
              <w:rPr>
                <w:rFonts w:ascii="Times New Roman" w:hAnsi="Times New Roman" w:eastAsia="SimSun"/>
                <w:b w:val="0"/>
                <w:sz w:val="21"/>
              </w:rPr>
              <w:t>基金信息变更：登记备案办法第五十五条线</w:t>
            </w:r>
          </w:p>
        </w:tc>
      </w:tr>
      <w:tr>
        <w:tc>
          <w:tcPr>
            <w:tcW w:type="dxa" w:w="2340"/>
          </w:tcPr>
          <w:p>
            <w:pPr>
              <w:spacing w:line="288" w:lineRule="auto"/>
            </w:pPr>
            <w:r/>
            <w:r>
              <w:rPr>
                <w:rFonts w:ascii="Times New Roman" w:hAnsi="Times New Roman" w:eastAsia="SimSun"/>
                <w:b w:val="0"/>
                <w:sz w:val="21"/>
              </w:rPr>
              <w:t>D</w:t>
            </w:r>
          </w:p>
        </w:tc>
        <w:tc>
          <w:tcPr>
            <w:tcW w:type="dxa" w:w="2340"/>
          </w:tcPr>
          <w:p>
            <w:pPr>
              <w:spacing w:line="288" w:lineRule="auto"/>
            </w:pPr>
            <w:r/>
            <w:r>
              <w:rPr>
                <w:rFonts w:ascii="Times New Roman" w:hAnsi="Times New Roman" w:eastAsia="SimSun"/>
                <w:b w:val="0"/>
                <w:sz w:val="21"/>
              </w:rPr>
              <w:t>有限合伙人（LP）</w:t>
            </w:r>
          </w:p>
        </w:tc>
        <w:tc>
          <w:tcPr>
            <w:tcW w:type="dxa" w:w="2340"/>
          </w:tcPr>
          <w:p>
            <w:pPr>
              <w:spacing w:line="288" w:lineRule="auto"/>
            </w:pPr>
            <w:r/>
            <w:r>
              <w:rPr>
                <w:rFonts w:ascii="Times New Roman" w:hAnsi="Times New Roman" w:eastAsia="SimSun"/>
                <w:b w:val="0"/>
                <w:sz w:val="21"/>
              </w:rPr>
              <w:t>02＋04＋03＋05＋06＋08＋14</w:t>
            </w:r>
          </w:p>
        </w:tc>
        <w:tc>
          <w:tcPr>
            <w:tcW w:type="dxa" w:w="2340"/>
          </w:tcPr>
          <w:p>
            <w:pPr>
              <w:spacing w:line="288" w:lineRule="auto"/>
            </w:pPr>
            <w:r/>
            <w:r>
              <w:rPr>
                <w:rFonts w:ascii="Times New Roman" w:hAnsi="Times New Roman" w:eastAsia="SimSun"/>
                <w:b w:val="0"/>
                <w:sz w:val="21"/>
              </w:rPr>
              <w:t>基金信息变更：登记备案办法第五十五条线</w:t>
            </w:r>
          </w:p>
        </w:tc>
      </w:tr>
    </w:tbl>
    <w:p>
      <w:pPr>
        <w:spacing w:line="300" w:lineRule="auto" w:after="60"/>
        <w:jc w:val="both"/>
      </w:pPr>
      <w:r>
        <w:rPr>
          <w:rFonts w:ascii="Times New Roman" w:hAnsi="Times New Roman" w:eastAsia="SimSun"/>
          <w:b w:val="0"/>
          <w:color w:val="7F7F7F"/>
          <w:sz w:val="21"/>
        </w:rPr>
        <w:t>【拟稿注：情形 D 中 03 号决定书按合伙协议约定的 LP 转让程序裁剪使用；如合伙协议对 LP 转让仅要求通知而无须决议同意的，03 号可仅用于固定「同意入伙＋修改合伙协议」两项。另注意区分：转让 GP 这家公司自身的股权（管理人股东层面变更）不适用本包，走管理人登记信息变更程序，见 14 号指引第一部分路由表。】</w:t>
      </w:r>
    </w:p>
    <w:p>
      <w:pPr>
        <w:spacing w:line="341" w:lineRule="auto" w:before="200" w:after="120"/>
      </w:pPr>
      <w:r>
        <w:rPr>
          <w:rFonts w:ascii="Times New Roman" w:hAnsi="Times New Roman" w:eastAsia="SimHei"/>
          <w:b/>
          <w:sz w:val="28"/>
        </w:rPr>
        <w:t>三、文件清单及用途</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序号</w:t>
            </w:r>
          </w:p>
        </w:tc>
        <w:tc>
          <w:tcPr>
            <w:tcW w:type="dxa" w:w="2340"/>
          </w:tcPr>
          <w:p>
            <w:pPr>
              <w:spacing w:line="288" w:lineRule="auto"/>
            </w:pPr>
            <w:r/>
            <w:r>
              <w:rPr>
                <w:rFonts w:ascii="Times New Roman" w:hAnsi="Times New Roman" w:eastAsia="SimHei"/>
                <w:b/>
                <w:sz w:val="21"/>
              </w:rPr>
              <w:t>文件</w:t>
            </w:r>
          </w:p>
        </w:tc>
        <w:tc>
          <w:tcPr>
            <w:tcW w:type="dxa" w:w="2340"/>
          </w:tcPr>
          <w:p>
            <w:pPr>
              <w:spacing w:line="288" w:lineRule="auto"/>
            </w:pPr>
            <w:r/>
            <w:r>
              <w:rPr>
                <w:rFonts w:ascii="Times New Roman" w:hAnsi="Times New Roman" w:eastAsia="SimHei"/>
                <w:b/>
                <w:sz w:val="21"/>
              </w:rPr>
              <w:t>用途</w:t>
            </w:r>
          </w:p>
        </w:tc>
        <w:tc>
          <w:tcPr>
            <w:tcW w:type="dxa" w:w="2340"/>
          </w:tcPr>
          <w:p>
            <w:pPr>
              <w:spacing w:line="288" w:lineRule="auto"/>
            </w:pPr>
            <w:r/>
            <w:r>
              <w:rPr>
                <w:rFonts w:ascii="Times New Roman" w:hAnsi="Times New Roman" w:eastAsia="SimHei"/>
                <w:b/>
                <w:sz w:val="21"/>
              </w:rPr>
              <w:t>签署方</w:t>
            </w:r>
          </w:p>
        </w:tc>
      </w:tr>
      <w:tr>
        <w:tc>
          <w:tcPr>
            <w:tcW w:type="dxa" w:w="2340"/>
          </w:tcPr>
          <w:p>
            <w:pPr>
              <w:spacing w:line="288" w:lineRule="auto"/>
            </w:pPr>
            <w:r/>
            <w:r>
              <w:rPr>
                <w:rFonts w:ascii="Times New Roman" w:hAnsi="Times New Roman" w:eastAsia="SimSun"/>
                <w:b w:val="0"/>
                <w:sz w:val="21"/>
              </w:rPr>
              <w:t>00</w:t>
            </w:r>
          </w:p>
        </w:tc>
        <w:tc>
          <w:tcPr>
            <w:tcW w:type="dxa" w:w="2340"/>
          </w:tcPr>
          <w:p>
            <w:pPr>
              <w:spacing w:line="288" w:lineRule="auto"/>
            </w:pPr>
            <w:r/>
            <w:r>
              <w:rPr>
                <w:rFonts w:ascii="Times New Roman" w:hAnsi="Times New Roman" w:eastAsia="SimSun"/>
                <w:b w:val="0"/>
                <w:sz w:val="21"/>
              </w:rPr>
              <w:t>使用说明</w:t>
            </w:r>
          </w:p>
        </w:tc>
        <w:tc>
          <w:tcPr>
            <w:tcW w:type="dxa" w:w="2340"/>
          </w:tcPr>
          <w:p>
            <w:pPr>
              <w:spacing w:line="288" w:lineRule="auto"/>
            </w:pPr>
            <w:r/>
            <w:r>
              <w:rPr>
                <w:rFonts w:ascii="Times New Roman" w:hAnsi="Times New Roman" w:eastAsia="SimSun"/>
                <w:b w:val="0"/>
                <w:sz w:val="21"/>
              </w:rPr>
              <w:t>文件地图、场景分岔、红线与办理顺序</w:t>
            </w:r>
          </w:p>
        </w:tc>
        <w:tc>
          <w:tcPr>
            <w:tcW w:type="dxa" w:w="2340"/>
          </w:tcPr>
          <w:p>
            <w:pPr>
              <w:spacing w:line="288" w:lineRule="auto"/>
            </w:pPr>
            <w:r/>
            <w:r>
              <w:rPr>
                <w:rFonts w:ascii="Times New Roman" w:hAnsi="Times New Roman" w:eastAsia="SimSun"/>
                <w:b w:val="0"/>
                <w:sz w:val="21"/>
              </w:rPr>
              <w:t>—</w:t>
            </w:r>
          </w:p>
        </w:tc>
      </w:tr>
      <w:tr>
        <w:tc>
          <w:tcPr>
            <w:tcW w:type="dxa" w:w="2340"/>
          </w:tcPr>
          <w:p>
            <w:pPr>
              <w:spacing w:line="288" w:lineRule="auto"/>
            </w:pPr>
            <w:r/>
            <w:r>
              <w:rPr>
                <w:rFonts w:ascii="Times New Roman" w:hAnsi="Times New Roman" w:eastAsia="SimSun"/>
                <w:b w:val="0"/>
                <w:sz w:val="21"/>
              </w:rPr>
              <w:t>01</w:t>
            </w:r>
          </w:p>
        </w:tc>
        <w:tc>
          <w:tcPr>
            <w:tcW w:type="dxa" w:w="2340"/>
          </w:tcPr>
          <w:p>
            <w:pPr>
              <w:spacing w:line="288" w:lineRule="auto"/>
            </w:pPr>
            <w:r/>
            <w:r>
              <w:rPr>
                <w:rFonts w:ascii="Times New Roman" w:hAnsi="Times New Roman" w:eastAsia="SimSun"/>
                <w:b w:val="0"/>
                <w:sz w:val="21"/>
              </w:rPr>
              <w:t>普通合伙人（GP）份额转让协议</w:t>
            </w:r>
          </w:p>
        </w:tc>
        <w:tc>
          <w:tcPr>
            <w:tcW w:type="dxa" w:w="2340"/>
          </w:tcPr>
          <w:p>
            <w:pPr>
              <w:spacing w:line="288" w:lineRule="auto"/>
            </w:pPr>
            <w:r/>
            <w:r>
              <w:rPr>
                <w:rFonts w:ascii="Times New Roman" w:hAnsi="Times New Roman" w:eastAsia="SimSun"/>
                <w:b w:val="0"/>
                <w:sz w:val="21"/>
              </w:rPr>
              <w:t>GP 轨主协议：先决条件、价款、交割移交、债务分层</w:t>
            </w:r>
          </w:p>
        </w:tc>
        <w:tc>
          <w:tcPr>
            <w:tcW w:type="dxa" w:w="2340"/>
          </w:tcPr>
          <w:p>
            <w:pPr>
              <w:spacing w:line="288" w:lineRule="auto"/>
            </w:pPr>
            <w:r/>
            <w:r>
              <w:rPr>
                <w:rFonts w:ascii="Times New Roman" w:hAnsi="Times New Roman" w:eastAsia="SimSun"/>
                <w:b w:val="0"/>
                <w:sz w:val="21"/>
              </w:rPr>
              <w:t>转让方、受让方、基金（确认方）</w:t>
            </w:r>
          </w:p>
        </w:tc>
      </w:tr>
      <w:tr>
        <w:tc>
          <w:tcPr>
            <w:tcW w:type="dxa" w:w="2340"/>
          </w:tcPr>
          <w:p>
            <w:pPr>
              <w:spacing w:line="288" w:lineRule="auto"/>
            </w:pPr>
            <w:r/>
            <w:r>
              <w:rPr>
                <w:rFonts w:ascii="Times New Roman" w:hAnsi="Times New Roman" w:eastAsia="SimSun"/>
                <w:b w:val="0"/>
                <w:sz w:val="21"/>
              </w:rPr>
              <w:t>02</w:t>
            </w:r>
          </w:p>
        </w:tc>
        <w:tc>
          <w:tcPr>
            <w:tcW w:type="dxa" w:w="2340"/>
          </w:tcPr>
          <w:p>
            <w:pPr>
              <w:spacing w:line="288" w:lineRule="auto"/>
            </w:pPr>
            <w:r/>
            <w:r>
              <w:rPr>
                <w:rFonts w:ascii="Times New Roman" w:hAnsi="Times New Roman" w:eastAsia="SimSun"/>
                <w:b w:val="0"/>
                <w:sz w:val="21"/>
              </w:rPr>
              <w:t>有限合伙人（LP）份额转让协议</w:t>
            </w:r>
          </w:p>
        </w:tc>
        <w:tc>
          <w:tcPr>
            <w:tcW w:type="dxa" w:w="2340"/>
          </w:tcPr>
          <w:p>
            <w:pPr>
              <w:spacing w:line="288" w:lineRule="auto"/>
            </w:pPr>
            <w:r/>
            <w:r>
              <w:rPr>
                <w:rFonts w:ascii="Times New Roman" w:hAnsi="Times New Roman" w:eastAsia="SimSun"/>
                <w:b w:val="0"/>
                <w:sz w:val="21"/>
              </w:rPr>
              <w:t>LP 轨主协议：通知与同意衔接、未实缴承接、合格投资者前提</w:t>
            </w:r>
          </w:p>
        </w:tc>
        <w:tc>
          <w:tcPr>
            <w:tcW w:type="dxa" w:w="2340"/>
          </w:tcPr>
          <w:p>
            <w:pPr>
              <w:spacing w:line="288" w:lineRule="auto"/>
            </w:pPr>
            <w:r/>
            <w:r>
              <w:rPr>
                <w:rFonts w:ascii="Times New Roman" w:hAnsi="Times New Roman" w:eastAsia="SimSun"/>
                <w:b w:val="0"/>
                <w:sz w:val="21"/>
              </w:rPr>
              <w:t>转让方、受让方、基金（确认方）</w:t>
            </w:r>
          </w:p>
        </w:tc>
      </w:tr>
      <w:tr>
        <w:tc>
          <w:tcPr>
            <w:tcW w:type="dxa" w:w="2340"/>
          </w:tcPr>
          <w:p>
            <w:pPr>
              <w:spacing w:line="288" w:lineRule="auto"/>
            </w:pPr>
            <w:r/>
            <w:r>
              <w:rPr>
                <w:rFonts w:ascii="Times New Roman" w:hAnsi="Times New Roman" w:eastAsia="SimSun"/>
                <w:b w:val="0"/>
                <w:sz w:val="21"/>
              </w:rPr>
              <w:t>03</w:t>
            </w:r>
          </w:p>
        </w:tc>
        <w:tc>
          <w:tcPr>
            <w:tcW w:type="dxa" w:w="2340"/>
          </w:tcPr>
          <w:p>
            <w:pPr>
              <w:spacing w:line="288" w:lineRule="auto"/>
            </w:pPr>
            <w:r/>
            <w:r>
              <w:rPr>
                <w:rFonts w:ascii="Times New Roman" w:hAnsi="Times New Roman" w:eastAsia="SimSun"/>
                <w:b w:val="0"/>
                <w:sz w:val="21"/>
              </w:rPr>
              <w:t>合伙人会议决议暨全体合伙人决定书</w:t>
            </w:r>
          </w:p>
        </w:tc>
        <w:tc>
          <w:tcPr>
            <w:tcW w:type="dxa" w:w="2340"/>
          </w:tcPr>
          <w:p>
            <w:pPr>
              <w:spacing w:line="288" w:lineRule="auto"/>
            </w:pPr>
            <w:r/>
            <w:r>
              <w:rPr>
                <w:rFonts w:ascii="Times New Roman" w:hAnsi="Times New Roman" w:eastAsia="SimSun"/>
                <w:b w:val="0"/>
                <w:sz w:val="21"/>
              </w:rPr>
              <w:t>同意转让四要素、放弃优先购买权、同意入伙、修改合伙协议</w:t>
            </w:r>
          </w:p>
        </w:tc>
        <w:tc>
          <w:tcPr>
            <w:tcW w:type="dxa" w:w="2340"/>
          </w:tcPr>
          <w:p>
            <w:pPr>
              <w:spacing w:line="288" w:lineRule="auto"/>
            </w:pPr>
            <w:r/>
            <w:r>
              <w:rPr>
                <w:rFonts w:ascii="Times New Roman" w:hAnsi="Times New Roman" w:eastAsia="SimSun"/>
                <w:b w:val="0"/>
                <w:sz w:val="21"/>
              </w:rPr>
              <w:t>全体合伙人</w:t>
            </w:r>
          </w:p>
        </w:tc>
      </w:tr>
      <w:tr>
        <w:tc>
          <w:tcPr>
            <w:tcW w:type="dxa" w:w="2340"/>
          </w:tcPr>
          <w:p>
            <w:pPr>
              <w:spacing w:line="288" w:lineRule="auto"/>
            </w:pPr>
            <w:r/>
            <w:r>
              <w:rPr>
                <w:rFonts w:ascii="Times New Roman" w:hAnsi="Times New Roman" w:eastAsia="SimSun"/>
                <w:b w:val="0"/>
                <w:sz w:val="21"/>
              </w:rPr>
              <w:t>04</w:t>
            </w:r>
          </w:p>
        </w:tc>
        <w:tc>
          <w:tcPr>
            <w:tcW w:type="dxa" w:w="2340"/>
          </w:tcPr>
          <w:p>
            <w:pPr>
              <w:spacing w:line="288" w:lineRule="auto"/>
            </w:pPr>
            <w:r/>
            <w:r>
              <w:rPr>
                <w:rFonts w:ascii="Times New Roman" w:hAnsi="Times New Roman" w:eastAsia="SimSun"/>
                <w:b w:val="0"/>
                <w:sz w:val="21"/>
              </w:rPr>
              <w:t>份额转让通知与同意函模板集</w:t>
            </w:r>
          </w:p>
        </w:tc>
        <w:tc>
          <w:tcPr>
            <w:tcW w:type="dxa" w:w="2340"/>
          </w:tcPr>
          <w:p>
            <w:pPr>
              <w:spacing w:line="288" w:lineRule="auto"/>
            </w:pPr>
            <w:r/>
            <w:r>
              <w:rPr>
                <w:rFonts w:ascii="Times New Roman" w:hAnsi="Times New Roman" w:eastAsia="SimSun"/>
                <w:b w:val="0"/>
                <w:sz w:val="21"/>
              </w:rPr>
              <w:t>LP 三十日通知、GP 征求同意、同意暨弃权复函</w:t>
            </w:r>
          </w:p>
        </w:tc>
        <w:tc>
          <w:tcPr>
            <w:tcW w:type="dxa" w:w="2340"/>
          </w:tcPr>
          <w:p>
            <w:pPr>
              <w:spacing w:line="288" w:lineRule="auto"/>
            </w:pPr>
            <w:r/>
            <w:r>
              <w:rPr>
                <w:rFonts w:ascii="Times New Roman" w:hAnsi="Times New Roman" w:eastAsia="SimSun"/>
                <w:b w:val="0"/>
                <w:sz w:val="21"/>
              </w:rPr>
              <w:t>按函件而定</w:t>
            </w:r>
          </w:p>
        </w:tc>
      </w:tr>
      <w:tr>
        <w:tc>
          <w:tcPr>
            <w:tcW w:type="dxa" w:w="2340"/>
          </w:tcPr>
          <w:p>
            <w:pPr>
              <w:spacing w:line="288" w:lineRule="auto"/>
            </w:pPr>
            <w:r/>
            <w:r>
              <w:rPr>
                <w:rFonts w:ascii="Times New Roman" w:hAnsi="Times New Roman" w:eastAsia="SimSun"/>
                <w:b w:val="0"/>
                <w:sz w:val="21"/>
              </w:rPr>
              <w:t>05</w:t>
            </w:r>
          </w:p>
        </w:tc>
        <w:tc>
          <w:tcPr>
            <w:tcW w:type="dxa" w:w="2340"/>
          </w:tcPr>
          <w:p>
            <w:pPr>
              <w:spacing w:line="288" w:lineRule="auto"/>
            </w:pPr>
            <w:r/>
            <w:r>
              <w:rPr>
                <w:rFonts w:ascii="Times New Roman" w:hAnsi="Times New Roman" w:eastAsia="SimSun"/>
                <w:b w:val="0"/>
                <w:sz w:val="21"/>
              </w:rPr>
              <w:t>入伙协议（受让方入伙）</w:t>
            </w:r>
          </w:p>
        </w:tc>
        <w:tc>
          <w:tcPr>
            <w:tcW w:type="dxa" w:w="2340"/>
          </w:tcPr>
          <w:p>
            <w:pPr>
              <w:spacing w:line="288" w:lineRule="auto"/>
            </w:pPr>
            <w:r/>
            <w:r>
              <w:rPr>
                <w:rFonts w:ascii="Times New Roman" w:hAnsi="Times New Roman" w:eastAsia="SimSun"/>
                <w:b w:val="0"/>
                <w:sz w:val="21"/>
              </w:rPr>
              <w:t>如实告知确认、两轨责任勾选、出资承接</w:t>
            </w:r>
          </w:p>
        </w:tc>
        <w:tc>
          <w:tcPr>
            <w:tcW w:type="dxa" w:w="2340"/>
          </w:tcPr>
          <w:p>
            <w:pPr>
              <w:spacing w:line="288" w:lineRule="auto"/>
            </w:pPr>
            <w:r/>
            <w:r>
              <w:rPr>
                <w:rFonts w:ascii="Times New Roman" w:hAnsi="Times New Roman" w:eastAsia="SimSun"/>
                <w:b w:val="0"/>
                <w:sz w:val="21"/>
              </w:rPr>
              <w:t>受让方与全体合伙人</w:t>
            </w:r>
          </w:p>
        </w:tc>
      </w:tr>
      <w:tr>
        <w:tc>
          <w:tcPr>
            <w:tcW w:type="dxa" w:w="2340"/>
          </w:tcPr>
          <w:p>
            <w:pPr>
              <w:spacing w:line="288" w:lineRule="auto"/>
            </w:pPr>
            <w:r/>
            <w:r>
              <w:rPr>
                <w:rFonts w:ascii="Times New Roman" w:hAnsi="Times New Roman" w:eastAsia="SimSun"/>
                <w:b w:val="0"/>
                <w:sz w:val="21"/>
              </w:rPr>
              <w:t>06</w:t>
            </w:r>
          </w:p>
        </w:tc>
        <w:tc>
          <w:tcPr>
            <w:tcW w:type="dxa" w:w="2340"/>
          </w:tcPr>
          <w:p>
            <w:pPr>
              <w:spacing w:line="288" w:lineRule="auto"/>
            </w:pPr>
            <w:r/>
            <w:r>
              <w:rPr>
                <w:rFonts w:ascii="Times New Roman" w:hAnsi="Times New Roman" w:eastAsia="SimSun"/>
                <w:b w:val="0"/>
                <w:sz w:val="21"/>
              </w:rPr>
              <w:t>合伙协议修正案（合伙人变更）</w:t>
            </w:r>
          </w:p>
        </w:tc>
        <w:tc>
          <w:tcPr>
            <w:tcW w:type="dxa" w:w="2340"/>
          </w:tcPr>
          <w:p>
            <w:pPr>
              <w:spacing w:line="288" w:lineRule="auto"/>
            </w:pPr>
            <w:r/>
            <w:r>
              <w:rPr>
                <w:rFonts w:ascii="Times New Roman" w:hAnsi="Times New Roman" w:eastAsia="SimSun"/>
                <w:b w:val="0"/>
                <w:sz w:val="21"/>
              </w:rPr>
              <w:t>合伙人及出资对照表替换、执行事务合伙人与管理人条款</w:t>
            </w:r>
          </w:p>
        </w:tc>
        <w:tc>
          <w:tcPr>
            <w:tcW w:type="dxa" w:w="2340"/>
          </w:tcPr>
          <w:p>
            <w:pPr>
              <w:spacing w:line="288" w:lineRule="auto"/>
            </w:pPr>
            <w:r/>
            <w:r>
              <w:rPr>
                <w:rFonts w:ascii="Times New Roman" w:hAnsi="Times New Roman" w:eastAsia="SimSun"/>
                <w:b w:val="0"/>
                <w:sz w:val="21"/>
              </w:rPr>
              <w:t>全体合伙人（含受让方）</w:t>
            </w:r>
          </w:p>
        </w:tc>
      </w:tr>
      <w:tr>
        <w:tc>
          <w:tcPr>
            <w:tcW w:type="dxa" w:w="2340"/>
          </w:tcPr>
          <w:p>
            <w:pPr>
              <w:spacing w:line="288" w:lineRule="auto"/>
            </w:pPr>
            <w:r/>
            <w:r>
              <w:rPr>
                <w:rFonts w:ascii="Times New Roman" w:hAnsi="Times New Roman" w:eastAsia="SimSun"/>
                <w:b w:val="0"/>
                <w:sz w:val="21"/>
              </w:rPr>
              <w:t>07</w:t>
            </w:r>
          </w:p>
        </w:tc>
        <w:tc>
          <w:tcPr>
            <w:tcW w:type="dxa" w:w="2340"/>
          </w:tcPr>
          <w:p>
            <w:pPr>
              <w:spacing w:line="288" w:lineRule="auto"/>
            </w:pPr>
            <w:r/>
            <w:r>
              <w:rPr>
                <w:rFonts w:ascii="Times New Roman" w:hAnsi="Times New Roman" w:eastAsia="SimSun"/>
                <w:b w:val="0"/>
                <w:sz w:val="21"/>
              </w:rPr>
              <w:t>退伙结算确认书</w:t>
            </w:r>
          </w:p>
        </w:tc>
        <w:tc>
          <w:tcPr>
            <w:tcW w:type="dxa" w:w="2340"/>
          </w:tcPr>
          <w:p>
            <w:pPr>
              <w:spacing w:line="288" w:lineRule="auto"/>
            </w:pPr>
            <w:r/>
            <w:r>
              <w:rPr>
                <w:rFonts w:ascii="Times New Roman" w:hAnsi="Times New Roman" w:eastAsia="SimSun"/>
                <w:b w:val="0"/>
                <w:sz w:val="21"/>
              </w:rPr>
              <w:t>结算基准日、未了结事务、费用切割、责任尾巴确认</w:t>
            </w:r>
          </w:p>
        </w:tc>
        <w:tc>
          <w:tcPr>
            <w:tcW w:type="dxa" w:w="2340"/>
          </w:tcPr>
          <w:p>
            <w:pPr>
              <w:spacing w:line="288" w:lineRule="auto"/>
            </w:pPr>
            <w:r/>
            <w:r>
              <w:rPr>
                <w:rFonts w:ascii="Times New Roman" w:hAnsi="Times New Roman" w:eastAsia="SimSun"/>
                <w:b w:val="0"/>
                <w:sz w:val="21"/>
              </w:rPr>
              <w:t>转让方、基金</w:t>
            </w:r>
          </w:p>
        </w:tc>
      </w:tr>
      <w:tr>
        <w:tc>
          <w:tcPr>
            <w:tcW w:type="dxa" w:w="2340"/>
          </w:tcPr>
          <w:p>
            <w:pPr>
              <w:spacing w:line="288" w:lineRule="auto"/>
            </w:pPr>
            <w:r/>
            <w:r>
              <w:rPr>
                <w:rFonts w:ascii="Times New Roman" w:hAnsi="Times New Roman" w:eastAsia="SimSun"/>
                <w:b w:val="0"/>
                <w:sz w:val="21"/>
              </w:rPr>
              <w:t>08</w:t>
            </w:r>
          </w:p>
        </w:tc>
        <w:tc>
          <w:tcPr>
            <w:tcW w:type="dxa" w:w="2340"/>
          </w:tcPr>
          <w:p>
            <w:pPr>
              <w:spacing w:line="288" w:lineRule="auto"/>
            </w:pPr>
            <w:r/>
            <w:r>
              <w:rPr>
                <w:rFonts w:ascii="Times New Roman" w:hAnsi="Times New Roman" w:eastAsia="SimSun"/>
                <w:b w:val="0"/>
                <w:sz w:val="21"/>
              </w:rPr>
              <w:t>受让方合格投资者确认与风险揭示函</w:t>
            </w:r>
          </w:p>
        </w:tc>
        <w:tc>
          <w:tcPr>
            <w:tcW w:type="dxa" w:w="2340"/>
          </w:tcPr>
          <w:p>
            <w:pPr>
              <w:spacing w:line="288" w:lineRule="auto"/>
            </w:pPr>
            <w:r/>
            <w:r>
              <w:rPr>
                <w:rFonts w:ascii="Times New Roman" w:hAnsi="Times New Roman" w:eastAsia="SimSun"/>
                <w:b w:val="0"/>
                <w:sz w:val="21"/>
              </w:rPr>
              <w:t>合格投资者声明、反拆分承诺、逐项风险确认</w:t>
            </w:r>
          </w:p>
        </w:tc>
        <w:tc>
          <w:tcPr>
            <w:tcW w:type="dxa" w:w="2340"/>
          </w:tcPr>
          <w:p>
            <w:pPr>
              <w:spacing w:line="288" w:lineRule="auto"/>
            </w:pPr>
            <w:r/>
            <w:r>
              <w:rPr>
                <w:rFonts w:ascii="Times New Roman" w:hAnsi="Times New Roman" w:eastAsia="SimSun"/>
                <w:b w:val="0"/>
                <w:sz w:val="21"/>
              </w:rPr>
              <w:t>受让方，管理人确认</w:t>
            </w:r>
          </w:p>
        </w:tc>
      </w:tr>
      <w:tr>
        <w:tc>
          <w:tcPr>
            <w:tcW w:type="dxa" w:w="2340"/>
          </w:tcPr>
          <w:p>
            <w:pPr>
              <w:spacing w:line="288" w:lineRule="auto"/>
            </w:pPr>
            <w:r/>
            <w:r>
              <w:rPr>
                <w:rFonts w:ascii="Times New Roman" w:hAnsi="Times New Roman" w:eastAsia="SimSun"/>
                <w:b w:val="0"/>
                <w:sz w:val="21"/>
              </w:rPr>
              <w:t>09</w:t>
            </w:r>
          </w:p>
        </w:tc>
        <w:tc>
          <w:tcPr>
            <w:tcW w:type="dxa" w:w="2340"/>
          </w:tcPr>
          <w:p>
            <w:pPr>
              <w:spacing w:line="288" w:lineRule="auto"/>
            </w:pPr>
            <w:r/>
            <w:r>
              <w:rPr>
                <w:rFonts w:ascii="Times New Roman" w:hAnsi="Times New Roman" w:eastAsia="SimSun"/>
                <w:b w:val="0"/>
                <w:sz w:val="21"/>
              </w:rPr>
              <w:t>基金份额受让尽职调查清单</w:t>
            </w:r>
          </w:p>
        </w:tc>
        <w:tc>
          <w:tcPr>
            <w:tcW w:type="dxa" w:w="2340"/>
          </w:tcPr>
          <w:p>
            <w:pPr>
              <w:spacing w:line="288" w:lineRule="auto"/>
            </w:pPr>
            <w:r/>
            <w:r>
              <w:rPr>
                <w:rFonts w:ascii="Times New Roman" w:hAnsi="Times New Roman" w:eastAsia="SimSun"/>
                <w:b w:val="0"/>
                <w:sz w:val="21"/>
              </w:rPr>
              <w:t>受让方视角五张核查表</w:t>
            </w:r>
          </w:p>
        </w:tc>
        <w:tc>
          <w:tcPr>
            <w:tcW w:type="dxa" w:w="2340"/>
          </w:tcPr>
          <w:p>
            <w:pPr>
              <w:spacing w:line="288" w:lineRule="auto"/>
            </w:pPr>
            <w:r/>
            <w:r>
              <w:rPr>
                <w:rFonts w:ascii="Times New Roman" w:hAnsi="Times New Roman" w:eastAsia="SimSun"/>
                <w:b w:val="0"/>
                <w:sz w:val="21"/>
              </w:rPr>
              <w:t>—</w:t>
            </w:r>
          </w:p>
        </w:tc>
      </w:tr>
      <w:tr>
        <w:tc>
          <w:tcPr>
            <w:tcW w:type="dxa" w:w="2340"/>
          </w:tcPr>
          <w:p>
            <w:pPr>
              <w:spacing w:line="288" w:lineRule="auto"/>
            </w:pPr>
            <w:r/>
            <w:r>
              <w:rPr>
                <w:rFonts w:ascii="Times New Roman" w:hAnsi="Times New Roman" w:eastAsia="SimSun"/>
                <w:b w:val="0"/>
                <w:sz w:val="21"/>
              </w:rPr>
              <w:t>10</w:t>
            </w:r>
          </w:p>
        </w:tc>
        <w:tc>
          <w:tcPr>
            <w:tcW w:type="dxa" w:w="2340"/>
          </w:tcPr>
          <w:p>
            <w:pPr>
              <w:spacing w:line="288" w:lineRule="auto"/>
            </w:pPr>
            <w:r/>
            <w:r>
              <w:rPr>
                <w:rFonts w:ascii="Times New Roman" w:hAnsi="Times New Roman" w:eastAsia="SimSun"/>
                <w:b w:val="0"/>
                <w:sz w:val="21"/>
              </w:rPr>
              <w:t>变更私募基金管理人协议（四方）</w:t>
            </w:r>
          </w:p>
        </w:tc>
        <w:tc>
          <w:tcPr>
            <w:tcW w:type="dxa" w:w="2340"/>
          </w:tcPr>
          <w:p>
            <w:pPr>
              <w:spacing w:line="288" w:lineRule="auto"/>
            </w:pPr>
            <w:r/>
            <w:r>
              <w:rPr>
                <w:rFonts w:ascii="Times New Roman" w:hAnsi="Times New Roman" w:eastAsia="SimSun"/>
                <w:b w:val="0"/>
                <w:sz w:val="21"/>
              </w:rPr>
              <w:t>职责移交、责任划界、报送义务</w:t>
            </w:r>
          </w:p>
        </w:tc>
        <w:tc>
          <w:tcPr>
            <w:tcW w:type="dxa" w:w="2340"/>
          </w:tcPr>
          <w:p>
            <w:pPr>
              <w:spacing w:line="288" w:lineRule="auto"/>
            </w:pPr>
            <w:r/>
            <w:r>
              <w:rPr>
                <w:rFonts w:ascii="Times New Roman" w:hAnsi="Times New Roman" w:eastAsia="SimSun"/>
                <w:b w:val="0"/>
                <w:sz w:val="21"/>
              </w:rPr>
              <w:t>原管理人、新管理人、基金及投资者、托管人</w:t>
            </w:r>
          </w:p>
        </w:tc>
      </w:tr>
      <w:tr>
        <w:tc>
          <w:tcPr>
            <w:tcW w:type="dxa" w:w="2340"/>
          </w:tcPr>
          <w:p>
            <w:pPr>
              <w:spacing w:line="288" w:lineRule="auto"/>
            </w:pPr>
            <w:r/>
            <w:r>
              <w:rPr>
                <w:rFonts w:ascii="Times New Roman" w:hAnsi="Times New Roman" w:eastAsia="SimSun"/>
                <w:b w:val="0"/>
                <w:sz w:val="21"/>
              </w:rPr>
              <w:t>11</w:t>
            </w:r>
          </w:p>
        </w:tc>
        <w:tc>
          <w:tcPr>
            <w:tcW w:type="dxa" w:w="2340"/>
          </w:tcPr>
          <w:p>
            <w:pPr>
              <w:spacing w:line="288" w:lineRule="auto"/>
            </w:pPr>
            <w:r/>
            <w:r>
              <w:rPr>
                <w:rFonts w:ascii="Times New Roman" w:hAnsi="Times New Roman" w:eastAsia="SimSun"/>
                <w:b w:val="0"/>
                <w:sz w:val="21"/>
              </w:rPr>
              <w:t>投资者会议决议（变更私募基金管理人）</w:t>
            </w:r>
          </w:p>
        </w:tc>
        <w:tc>
          <w:tcPr>
            <w:tcW w:type="dxa" w:w="2340"/>
          </w:tcPr>
          <w:p>
            <w:pPr>
              <w:spacing w:line="288" w:lineRule="auto"/>
            </w:pPr>
            <w:r/>
            <w:r>
              <w:rPr>
                <w:rFonts w:ascii="Times New Roman" w:hAnsi="Times New Roman" w:eastAsia="SimSun"/>
                <w:b w:val="0"/>
                <w:sz w:val="21"/>
              </w:rPr>
              <w:t>解任聘任表决、程序要素记载、通知授权</w:t>
            </w:r>
          </w:p>
        </w:tc>
        <w:tc>
          <w:tcPr>
            <w:tcW w:type="dxa" w:w="2340"/>
          </w:tcPr>
          <w:p>
            <w:pPr>
              <w:spacing w:line="288" w:lineRule="auto"/>
            </w:pPr>
            <w:r/>
            <w:r>
              <w:rPr>
                <w:rFonts w:ascii="Times New Roman" w:hAnsi="Times New Roman" w:eastAsia="SimSun"/>
                <w:b w:val="0"/>
                <w:sz w:val="21"/>
              </w:rPr>
              <w:t>投资者会议</w:t>
            </w:r>
          </w:p>
        </w:tc>
      </w:tr>
      <w:tr>
        <w:tc>
          <w:tcPr>
            <w:tcW w:type="dxa" w:w="2340"/>
          </w:tcPr>
          <w:p>
            <w:pPr>
              <w:spacing w:line="288" w:lineRule="auto"/>
            </w:pPr>
            <w:r/>
            <w:r>
              <w:rPr>
                <w:rFonts w:ascii="Times New Roman" w:hAnsi="Times New Roman" w:eastAsia="SimSun"/>
                <w:b w:val="0"/>
                <w:sz w:val="21"/>
              </w:rPr>
              <w:t>12</w:t>
            </w:r>
          </w:p>
        </w:tc>
        <w:tc>
          <w:tcPr>
            <w:tcW w:type="dxa" w:w="2340"/>
          </w:tcPr>
          <w:p>
            <w:pPr>
              <w:spacing w:line="288" w:lineRule="auto"/>
            </w:pPr>
            <w:r/>
            <w:r>
              <w:rPr>
                <w:rFonts w:ascii="Times New Roman" w:hAnsi="Times New Roman" w:eastAsia="SimSun"/>
                <w:b w:val="0"/>
                <w:sz w:val="21"/>
              </w:rPr>
              <w:t>委托管理协议</w:t>
            </w:r>
          </w:p>
        </w:tc>
        <w:tc>
          <w:tcPr>
            <w:tcW w:type="dxa" w:w="2340"/>
          </w:tcPr>
          <w:p>
            <w:pPr>
              <w:spacing w:line="288" w:lineRule="auto"/>
            </w:pPr>
            <w:r/>
            <w:r>
              <w:rPr>
                <w:rFonts w:ascii="Times New Roman" w:hAnsi="Times New Roman" w:eastAsia="SimSun"/>
                <w:b w:val="0"/>
                <w:sz w:val="21"/>
              </w:rPr>
              <w:t>执行事务合伙人与管理人分离结构的必备报送文件</w:t>
            </w:r>
          </w:p>
        </w:tc>
        <w:tc>
          <w:tcPr>
            <w:tcW w:type="dxa" w:w="2340"/>
          </w:tcPr>
          <w:p>
            <w:pPr>
              <w:spacing w:line="288" w:lineRule="auto"/>
            </w:pPr>
            <w:r/>
            <w:r>
              <w:rPr>
                <w:rFonts w:ascii="Times New Roman" w:hAnsi="Times New Roman" w:eastAsia="SimSun"/>
                <w:b w:val="0"/>
                <w:sz w:val="21"/>
              </w:rPr>
              <w:t>基金、执行事务合伙人、管理人</w:t>
            </w:r>
          </w:p>
        </w:tc>
      </w:tr>
      <w:tr>
        <w:tc>
          <w:tcPr>
            <w:tcW w:type="dxa" w:w="2340"/>
          </w:tcPr>
          <w:p>
            <w:pPr>
              <w:spacing w:line="288" w:lineRule="auto"/>
            </w:pPr>
            <w:r/>
            <w:r>
              <w:rPr>
                <w:rFonts w:ascii="Times New Roman" w:hAnsi="Times New Roman" w:eastAsia="SimSun"/>
                <w:b w:val="0"/>
                <w:sz w:val="21"/>
              </w:rPr>
              <w:t>13</w:t>
            </w:r>
          </w:p>
        </w:tc>
        <w:tc>
          <w:tcPr>
            <w:tcW w:type="dxa" w:w="2340"/>
          </w:tcPr>
          <w:p>
            <w:pPr>
              <w:spacing w:line="288" w:lineRule="auto"/>
            </w:pPr>
            <w:r/>
            <w:r>
              <w:rPr>
                <w:rFonts w:ascii="Times New Roman" w:hAnsi="Times New Roman" w:eastAsia="SimSun"/>
                <w:b w:val="0"/>
                <w:sz w:val="21"/>
              </w:rPr>
              <w:t>变更管理人配套函件模板集</w:t>
            </w:r>
          </w:p>
        </w:tc>
        <w:tc>
          <w:tcPr>
            <w:tcW w:type="dxa" w:w="2340"/>
          </w:tcPr>
          <w:p>
            <w:pPr>
              <w:spacing w:line="288" w:lineRule="auto"/>
            </w:pPr>
            <w:r/>
            <w:r>
              <w:rPr>
                <w:rFonts w:ascii="Times New Roman" w:hAnsi="Times New Roman" w:eastAsia="SimSun"/>
                <w:b w:val="0"/>
                <w:sz w:val="21"/>
              </w:rPr>
              <w:t>托管人意见、解除管理关系通知、投资者告知</w:t>
            </w:r>
          </w:p>
        </w:tc>
        <w:tc>
          <w:tcPr>
            <w:tcW w:type="dxa" w:w="2340"/>
          </w:tcPr>
          <w:p>
            <w:pPr>
              <w:spacing w:line="288" w:lineRule="auto"/>
            </w:pPr>
            <w:r/>
            <w:r>
              <w:rPr>
                <w:rFonts w:ascii="Times New Roman" w:hAnsi="Times New Roman" w:eastAsia="SimSun"/>
                <w:b w:val="0"/>
                <w:sz w:val="21"/>
              </w:rPr>
              <w:t>按函件而定</w:t>
            </w:r>
          </w:p>
        </w:tc>
      </w:tr>
      <w:tr>
        <w:tc>
          <w:tcPr>
            <w:tcW w:type="dxa" w:w="2340"/>
          </w:tcPr>
          <w:p>
            <w:pPr>
              <w:spacing w:line="288" w:lineRule="auto"/>
            </w:pPr>
            <w:r/>
            <w:r>
              <w:rPr>
                <w:rFonts w:ascii="Times New Roman" w:hAnsi="Times New Roman" w:eastAsia="SimSun"/>
                <w:b w:val="0"/>
                <w:sz w:val="21"/>
              </w:rPr>
              <w:t>14</w:t>
            </w:r>
          </w:p>
        </w:tc>
        <w:tc>
          <w:tcPr>
            <w:tcW w:type="dxa" w:w="2340"/>
          </w:tcPr>
          <w:p>
            <w:pPr>
              <w:spacing w:line="288" w:lineRule="auto"/>
            </w:pPr>
            <w:r/>
            <w:r>
              <w:rPr>
                <w:rFonts w:ascii="Times New Roman" w:hAnsi="Times New Roman" w:eastAsia="SimSun"/>
                <w:b w:val="0"/>
                <w:sz w:val="21"/>
              </w:rPr>
              <w:t>中基协变更备案与工商登记办理指引</w:t>
            </w:r>
          </w:p>
        </w:tc>
        <w:tc>
          <w:tcPr>
            <w:tcW w:type="dxa" w:w="2340"/>
          </w:tcPr>
          <w:p>
            <w:pPr>
              <w:spacing w:line="288" w:lineRule="auto"/>
            </w:pPr>
            <w:r/>
            <w:r>
              <w:rPr>
                <w:rFonts w:ascii="Times New Roman" w:hAnsi="Times New Roman" w:eastAsia="SimSun"/>
                <w:b w:val="0"/>
                <w:sz w:val="21"/>
              </w:rPr>
              <w:t>路由表、时间轴、材料对照、特殊情形</w:t>
            </w:r>
          </w:p>
        </w:tc>
        <w:tc>
          <w:tcPr>
            <w:tcW w:type="dxa" w:w="2340"/>
          </w:tcPr>
          <w:p>
            <w:pPr>
              <w:spacing w:line="288" w:lineRule="auto"/>
            </w:pPr>
            <w:r/>
            <w:r>
              <w:rPr>
                <w:rFonts w:ascii="Times New Roman" w:hAnsi="Times New Roman" w:eastAsia="SimSun"/>
                <w:b w:val="0"/>
                <w:sz w:val="21"/>
              </w:rPr>
              <w:t>—</w:t>
            </w:r>
          </w:p>
        </w:tc>
      </w:tr>
      <w:tr>
        <w:tc>
          <w:tcPr>
            <w:tcW w:type="dxa" w:w="2340"/>
          </w:tcPr>
          <w:p>
            <w:pPr>
              <w:spacing w:line="288" w:lineRule="auto"/>
            </w:pPr>
            <w:r/>
            <w:r>
              <w:rPr>
                <w:rFonts w:ascii="Times New Roman" w:hAnsi="Times New Roman" w:eastAsia="SimSun"/>
                <w:b w:val="0"/>
                <w:sz w:val="21"/>
              </w:rPr>
              <w:t>15</w:t>
            </w:r>
          </w:p>
        </w:tc>
        <w:tc>
          <w:tcPr>
            <w:tcW w:type="dxa" w:w="2340"/>
          </w:tcPr>
          <w:p>
            <w:pPr>
              <w:spacing w:line="288" w:lineRule="auto"/>
            </w:pPr>
            <w:r/>
            <w:r>
              <w:rPr>
                <w:rFonts w:ascii="Times New Roman" w:hAnsi="Times New Roman" w:eastAsia="SimSun"/>
                <w:b w:val="0"/>
                <w:sz w:val="21"/>
              </w:rPr>
              <w:t>律师复核提示</w:t>
            </w:r>
          </w:p>
        </w:tc>
        <w:tc>
          <w:tcPr>
            <w:tcW w:type="dxa" w:w="2340"/>
          </w:tcPr>
          <w:p>
            <w:pPr>
              <w:spacing w:line="288" w:lineRule="auto"/>
            </w:pPr>
            <w:r/>
            <w:r>
              <w:rPr>
                <w:rFonts w:ascii="Times New Roman" w:hAnsi="Times New Roman" w:eastAsia="SimSun"/>
                <w:b w:val="0"/>
                <w:sz w:val="21"/>
              </w:rPr>
              <w:t>逐份必核事项与七个横向核验维度</w:t>
            </w:r>
          </w:p>
        </w:tc>
        <w:tc>
          <w:tcPr>
            <w:tcW w:type="dxa" w:w="2340"/>
          </w:tcPr>
          <w:p>
            <w:pPr>
              <w:spacing w:line="288" w:lineRule="auto"/>
            </w:pPr>
            <w:r/>
            <w:r>
              <w:rPr>
                <w:rFonts w:ascii="Times New Roman" w:hAnsi="Times New Roman" w:eastAsia="SimSun"/>
                <w:b w:val="0"/>
                <w:sz w:val="21"/>
              </w:rPr>
              <w:t>—</w:t>
            </w:r>
          </w:p>
        </w:tc>
      </w:tr>
    </w:tbl>
    <w:p>
      <w:pPr>
        <w:spacing w:line="341" w:lineRule="auto" w:before="200" w:after="120"/>
      </w:pPr>
      <w:r>
        <w:rPr>
          <w:rFonts w:ascii="Times New Roman" w:hAnsi="Times New Roman" w:eastAsia="SimHei"/>
          <w:b/>
          <w:sz w:val="28"/>
        </w:rPr>
        <w:t>四、统一角色体系</w:t>
      </w:r>
    </w:p>
    <w:p>
      <w:pPr>
        <w:spacing w:line="319" w:lineRule="auto" w:after="40"/>
        <w:jc w:val="both"/>
      </w:pPr>
      <w:r>
        <w:rPr>
          <w:rFonts w:ascii="Times New Roman" w:hAnsi="Times New Roman" w:eastAsia="SimSun"/>
          <w:b w:val="0"/>
          <w:sz w:val="24"/>
        </w:rPr>
        <w:t>全包使用统一角色占位符：【基金】（合伙型私募基金即有限合伙企业本身）、【转让方】、【受让方】、【执行事务合伙人】、【原管理人】、【新管理人】、【托管人】、【其他合伙人】。【●】为留空变量。同一交易中各文件的角色填写必须一致。</w:t>
      </w:r>
    </w:p>
    <w:p>
      <w:pPr>
        <w:spacing w:line="341" w:lineRule="auto" w:before="200" w:after="120"/>
      </w:pPr>
      <w:r>
        <w:rPr>
          <w:rFonts w:ascii="Times New Roman" w:hAnsi="Times New Roman" w:eastAsia="SimHei"/>
          <w:b/>
          <w:sz w:val="28"/>
        </w:rPr>
        <w:t>五、三条贯穿全包的法律红线（改动任何文件勿碰）</w:t>
      </w:r>
    </w:p>
    <w:p>
      <w:pPr>
        <w:spacing w:line="319" w:lineRule="auto" w:after="40"/>
        <w:jc w:val="both"/>
      </w:pPr>
      <w:r>
        <w:rPr>
          <w:rFonts w:ascii="Times New Roman" w:hAnsi="Times New Roman" w:eastAsia="SimSun"/>
          <w:b w:val="0"/>
          <w:sz w:val="24"/>
        </w:rPr>
        <w:t>1、两套同意叠加不替代：份额转让要过合伙企业法上的同意程序——GP 对外转让除合伙协议另有约定外须经其他合伙人一致同意（合伙企业法第二十二条），LP 按合伙协议约定转让并提前三十日通知（第七十三条），受让人经修改合伙协议才成为合伙人（第十九条、第二十四条）；涉及变更私募基金管理人的，还要过基金合同项下投资者会议同意——除法律另有规定或合同另有约定外，须经持有三分之二以上基金份额的投资者同意（备案指引第 3 号第四条）。两道程序相互独立，拿到其中一个不等于拿到另一个。</w:t>
      </w:r>
    </w:p>
    <w:p>
      <w:pPr>
        <w:spacing w:line="319" w:lineRule="auto" w:after="40"/>
        <w:jc w:val="both"/>
      </w:pPr>
      <w:r>
        <w:rPr>
          <w:rFonts w:ascii="Times New Roman" w:hAnsi="Times New Roman" w:eastAsia="SimSun"/>
          <w:b w:val="0"/>
          <w:sz w:val="24"/>
        </w:rPr>
        <w:t>2、责任分轨、对外不可排除：GP 轨——受让方入伙后对入伙前基金债务承担无限连带责任（第四十四条），转让方退出后对退出前原因发生的债务承担无限连带责任（第五十三条），普通合伙人转变为有限合伙人的仍对其作为普通合伙人期间的债务无限连带（第八十四条）；LP 轨——受让方以认缴出资额为限（第七十七条），退出方以退伙时取回的财产为限（第八十一条）。上述法定责任不因转让协议的内部约定而对抗基金债权人，内部只能做补偿安排。两轨条款绝不混用。</w:t>
      </w:r>
    </w:p>
    <w:p>
      <w:pPr>
        <w:spacing w:line="319" w:lineRule="auto" w:after="40"/>
        <w:jc w:val="both"/>
      </w:pPr>
      <w:r>
        <w:rPr>
          <w:rFonts w:ascii="Times New Roman" w:hAnsi="Times New Roman" w:eastAsia="SimSun"/>
          <w:b w:val="0"/>
          <w:sz w:val="24"/>
        </w:rPr>
        <w:t>3、顺序铁律：内部决议与文件签署 → 工商变更登记（自决议之日起三十日内，市场主体登记管理条例第二十四条）→ 协会变更手续（自变更之日起十个工作日内；需办工商变更的，变更之日指工商变更登记之日——备案指引第 2 号第三十五条第（七）项）。涉换管理人的，新管理人须为已登记且有正在管理基金的存续管理人（备案指引第 3 号第五条）。顺序颠倒或资格不符会被退回，逾期不改正的协会可暂停该管理人的基金备案（登记备案办法第四十二条第（六）项）。</w:t>
      </w:r>
    </w:p>
    <w:p>
      <w:pPr>
        <w:spacing w:line="341" w:lineRule="auto" w:before="200" w:after="120"/>
      </w:pPr>
      <w:r>
        <w:rPr>
          <w:rFonts w:ascii="Times New Roman" w:hAnsi="Times New Roman" w:eastAsia="SimHei"/>
          <w:b/>
          <w:sz w:val="28"/>
        </w:rPr>
        <w:t>六、机制勾稽（修改任一处须同步）</w:t>
      </w:r>
    </w:p>
    <w:p>
      <w:pPr>
        <w:spacing w:line="319" w:lineRule="auto" w:after="40"/>
        <w:jc w:val="both"/>
      </w:pPr>
      <w:r>
        <w:rPr>
          <w:rFonts w:ascii="Times New Roman" w:hAnsi="Times New Roman" w:eastAsia="SimSun"/>
          <w:b w:val="0"/>
          <w:sz w:val="24"/>
        </w:rPr>
        <w:t>1、四要素一条线：拟转让份额的数量、价格、支付方式与期限，在 01/02 主协议、03 决定书、04 函件中必须完全同轨，改一处须三处同改。</w:t>
      </w:r>
    </w:p>
    <w:p>
      <w:pPr>
        <w:spacing w:line="319" w:lineRule="auto" w:after="40"/>
        <w:jc w:val="both"/>
      </w:pPr>
      <w:r>
        <w:rPr>
          <w:rFonts w:ascii="Times New Roman" w:hAnsi="Times New Roman" w:eastAsia="SimSun"/>
          <w:b w:val="0"/>
          <w:sz w:val="24"/>
        </w:rPr>
        <w:t>2、先决条件一张网：01/02 的先决条件条款分别引用 03 决定书、04 函件、06 修正案、08 确认函、10/11 管理人变更文件——勾选适用情形后，把不适用的先决条件删除，并同步删除对应文件。</w:t>
      </w:r>
    </w:p>
    <w:p>
      <w:pPr>
        <w:spacing w:line="319" w:lineRule="auto" w:after="40"/>
        <w:jc w:val="both"/>
      </w:pPr>
      <w:r>
        <w:rPr>
          <w:rFonts w:ascii="Times New Roman" w:hAnsi="Times New Roman" w:eastAsia="SimSun"/>
          <w:b w:val="0"/>
          <w:sz w:val="24"/>
        </w:rPr>
        <w:t>3、责任划界一个日：01 的交割日、07 的结算基准日、10 的移交基准日属于不同程序的时间节点，各文件内部自洽即可，但相互间的先后关系须在时间表中排定，避免出现「结算早于交割」类倒挂。</w:t>
      </w:r>
    </w:p>
    <w:p>
      <w:pPr>
        <w:spacing w:line="319" w:lineRule="auto" w:after="40"/>
        <w:jc w:val="both"/>
      </w:pPr>
      <w:r>
        <w:rPr>
          <w:rFonts w:ascii="Times New Roman" w:hAnsi="Times New Roman" w:eastAsia="SimSun"/>
          <w:b w:val="0"/>
          <w:sz w:val="24"/>
        </w:rPr>
        <w:t>4、决议与签署一体化：03 号设计为决议与全体合伙人签署合一，尽量取得全体签章；无法取得全体签章时，按合伙协议约定的表决机制形成决议，并保留召集通知、送达凭证等程序证据。</w:t>
      </w:r>
    </w:p>
    <w:p>
      <w:pPr>
        <w:spacing w:line="319" w:lineRule="auto" w:after="40"/>
        <w:jc w:val="both"/>
      </w:pPr>
      <w:r>
        <w:rPr>
          <w:rFonts w:ascii="Times New Roman" w:hAnsi="Times New Roman" w:eastAsia="SimSun"/>
          <w:b w:val="0"/>
          <w:sz w:val="24"/>
        </w:rPr>
        <w:t>5、变更管理人一条链：11 决议 → 13 模板二解除管理关系通知书 → 10 四方协议与 12 委托管理协议 → 13 模板一托管人意见 → 工商变更 → 协会报送（14 指引第三部分材料对照表）→ 新管理人向注册地证监局报告。</w:t>
      </w:r>
    </w:p>
    <w:p>
      <w:pPr>
        <w:spacing w:line="341" w:lineRule="auto" w:before="200" w:after="120"/>
      </w:pPr>
      <w:r>
        <w:rPr>
          <w:rFonts w:ascii="Times New Roman" w:hAnsi="Times New Roman" w:eastAsia="SimHei"/>
          <w:b/>
          <w:sz w:val="28"/>
        </w:rPr>
        <w:t>七、签署与使用顺序（建议）</w:t>
      </w:r>
    </w:p>
    <w:p>
      <w:pPr>
        <w:spacing w:line="319" w:lineRule="auto" w:after="40"/>
        <w:jc w:val="both"/>
      </w:pPr>
      <w:r>
        <w:rPr>
          <w:rFonts w:ascii="Times New Roman" w:hAnsi="Times New Roman" w:eastAsia="SimSun"/>
          <w:b w:val="0"/>
          <w:sz w:val="24"/>
        </w:rPr>
        <w:t>1、任何场景先查两样：合伙协议及全部修正案（转让限制、同意程序、优先购买权、受让方资格条件、表决比例的特别约定优先于本包默认条款）与基金备案信息（运作状态、管理人登记状态）。</w:t>
      </w:r>
    </w:p>
    <w:p>
      <w:pPr>
        <w:spacing w:line="319" w:lineRule="auto" w:after="40"/>
        <w:jc w:val="both"/>
      </w:pPr>
      <w:r>
        <w:rPr>
          <w:rFonts w:ascii="Times New Roman" w:hAnsi="Times New Roman" w:eastAsia="SimSun"/>
          <w:b w:val="0"/>
          <w:sz w:val="24"/>
        </w:rPr>
        <w:t>2、GP 转让（情形 A/B/C）：09 尽调 → 04 模板二征求同意（或直接上 03 决定书）→ 01 主协议 → 03＋05＋06 同批签署 → 07 结算 → 涉管理人变更的走 11→10→12→13 → 工商变更（三十日内）→ 协会变更（十个工作日内，按 14 指引备料）。</w:t>
      </w:r>
    </w:p>
    <w:p>
      <w:pPr>
        <w:spacing w:line="319" w:lineRule="auto" w:after="40"/>
        <w:jc w:val="both"/>
      </w:pPr>
      <w:r>
        <w:rPr>
          <w:rFonts w:ascii="Times New Roman" w:hAnsi="Times New Roman" w:eastAsia="SimSun"/>
          <w:b w:val="0"/>
          <w:sz w:val="24"/>
        </w:rPr>
        <w:t>3、LP 转让（情形 D）：09 尽调 → 04 模板一发三十日通知 → 08 合格投资者确认 → 02 主协议 → 03（按需裁剪）＋05＋06 → 工商变更 → 协会变更。</w:t>
      </w:r>
    </w:p>
    <w:p>
      <w:pPr>
        <w:spacing w:line="319" w:lineRule="auto" w:after="40"/>
        <w:jc w:val="both"/>
      </w:pPr>
      <w:r>
        <w:rPr>
          <w:rFonts w:ascii="Times New Roman" w:hAnsi="Times New Roman" w:eastAsia="SimSun"/>
          <w:b w:val="0"/>
          <w:sz w:val="24"/>
        </w:rPr>
        <w:t>4、国有转让方：在签署 01/02 之前先完成评估、内部决策与批准程序，并向主管国资监管机构确认是否进场交易（企业国有资产交易监督管理办法第十三条、第三十一条）；进场的，挂牌程序前置于全部签署环节。</w:t>
      </w:r>
    </w:p>
    <w:p>
      <w:pPr>
        <w:spacing w:line="341" w:lineRule="auto" w:before="200" w:after="120"/>
      </w:pPr>
      <w:r>
        <w:rPr>
          <w:rFonts w:ascii="Times New Roman" w:hAnsi="Times New Roman" w:eastAsia="SimHei"/>
          <w:b/>
          <w:sz w:val="28"/>
        </w:rPr>
        <w:t>八、重要提示</w:t>
      </w:r>
    </w:p>
    <w:p>
      <w:pPr>
        <w:spacing w:line="319" w:lineRule="auto" w:after="40"/>
        <w:jc w:val="both"/>
      </w:pPr>
      <w:r>
        <w:rPr>
          <w:rFonts w:ascii="Times New Roman" w:hAnsi="Times New Roman" w:eastAsia="SimSun"/>
          <w:b w:val="0"/>
          <w:sz w:val="24"/>
        </w:rPr>
        <w:t>1、本包为示范文本，供执业律师及交易当事人在具体场景中参考使用，不构成对任何具体事项的法律意见；使用前应结合最新法律法规、自律规则与合伙协议约定逐条调整。</w:t>
      </w:r>
    </w:p>
    <w:p>
      <w:pPr>
        <w:spacing w:line="319" w:lineRule="auto" w:after="40"/>
        <w:jc w:val="both"/>
      </w:pPr>
      <w:r>
        <w:rPr>
          <w:rFonts w:ascii="Times New Roman" w:hAnsi="Times New Roman" w:eastAsia="SimSun"/>
          <w:b w:val="0"/>
          <w:sz w:val="24"/>
        </w:rPr>
        <w:t>2、法律基准：《中华人民共和国合伙企业法》（2006 修订）、《私募投资基金监督管理条例》、《私募投资基金登记备案办法》（中基协发〔2023〕5 号）、《私募投资基金备案指引第 2 号——私募股权、创业投资基金》、《私募投资基金备案指引第 3 号——私募投资基金变更管理人》（2025 年修订，中基协发〔2025〕14 号）、《市场主体登记管理条例》。以上均以撰写时的现行有效版本为基准，使用前请以最新规定为准。</w:t>
      </w:r>
    </w:p>
    <w:p>
      <w:pPr>
        <w:spacing w:line="319" w:lineRule="auto" w:after="40"/>
        <w:jc w:val="both"/>
      </w:pPr>
      <w:r>
        <w:rPr>
          <w:rFonts w:ascii="Times New Roman" w:hAnsi="Times New Roman" w:eastAsia="SimSun"/>
          <w:b w:val="0"/>
          <w:sz w:val="24"/>
        </w:rPr>
        <w:t>3、灰色【拟稿注：…】为拟稿指引与风险提示，定稿前必须整段删除；二选一、勾选类条款须逐项选定并删去未选支，空置的选择项在争议中可能被作不利解释。</w:t>
      </w:r>
    </w:p>
    <w:p>
      <w:pPr>
        <w:spacing w:line="319" w:lineRule="auto" w:after="40"/>
        <w:jc w:val="both"/>
      </w:pPr>
      <w:r>
        <w:rPr>
          <w:rFonts w:ascii="Times New Roman" w:hAnsi="Times New Roman" w:eastAsia="SimSun"/>
          <w:b w:val="0"/>
          <w:sz w:val="24"/>
        </w:rPr>
        <w:t>4、税务事项本包仅作提示性安排：合伙份额转让的所得税定性与征管存在地区口径差异，签约前完成税负测算并咨询主管税务机关或税务专业人士。</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00_使用说明</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