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股权投融资协议包</w:t>
      </w:r>
    </w:p>
    <w:p>
      <w:pPr>
        <w:spacing w:after="60" w:before="60" w:line="320"/>
        <w:jc w:val="center"/>
      </w:pPr>
      <w:r>
        <w:rPr>
          <w:rFonts w:ascii="Times New Roman" w:eastAsia="SimSun" w:hAnsi="Times New Roman"/>
          <w:b w:val="false"/>
          <w:bCs w:val="false"/>
          <w:i w:val="false"/>
          <w:iCs w:val="false"/>
          <w:sz w:val="28"/>
          <w:szCs w:val="28"/>
        </w:rPr>
        <w:t xml:space="preserve">使用说明</w:t>
      </w:r>
    </w:p>
    <w:p>
      <w:pPr>
        <w:spacing w:after="60" w:before="60" w:line="320"/>
        <w:jc w:val="center"/>
      </w:pPr>
      <w:r>
        <w:rPr>
          <w:rFonts w:ascii="Times New Roman" w:eastAsia="SimSun" w:hAnsi="Times New Roman"/>
          <w:b w:val="false"/>
          <w:bCs w:val="false"/>
          <w:i w:val="false"/>
          <w:iCs w:val="false"/>
          <w:sz w:val="28"/>
          <w:szCs w:val="28"/>
        </w:rPr>
        <w:t xml:space="preserve">（示范文本·使用前请通读）</w:t>
      </w:r>
    </w:p>
    <w:p>
      <w:pPr>
        <w:keepNext/>
        <w:spacing w:after="120" w:before="240" w:line="340"/>
        <w:jc w:val="left"/>
      </w:pPr>
      <w:r>
        <w:rPr>
          <w:rFonts w:ascii="Times New Roman" w:eastAsia="SimHei" w:hAnsi="Times New Roman"/>
          <w:b/>
          <w:bCs/>
          <w:i w:val="false"/>
          <w:iCs w:val="false"/>
          <w:sz w:val="28"/>
          <w:szCs w:val="28"/>
        </w:rPr>
        <w:t xml:space="preserve">一、本包适用场景</w:t>
      </w:r>
    </w:p>
    <w:p>
      <w:pPr>
        <w:spacing w:after="40" w:before="40" w:line="320"/>
        <w:ind w:firstLine="480"/>
        <w:jc w:val="both"/>
      </w:pPr>
      <w:r>
        <w:rPr>
          <w:rFonts w:ascii="Times New Roman" w:eastAsia="SimSun" w:hAnsi="Times New Roman"/>
          <w:b w:val="false"/>
          <w:bCs w:val="false"/>
          <w:i w:val="false"/>
          <w:iCs w:val="false"/>
          <w:sz w:val="24"/>
          <w:szCs w:val="24"/>
        </w:rPr>
        <w:t xml:space="preserve">本文件包适用于机构投资人对境内有限责任公司进行"增资＋受让老股"组合型股权投资交易，亦可拆分用于单纯增资或单纯老股转让交易（拆分使用时按各文件内拟稿注删减交叉引用条款）。全套文件按一个假想交易编写，角色、定义、数据勾稽关系全包统一。</w:t>
      </w:r>
    </w:p>
    <w:p>
      <w:pPr>
        <w:keepNext/>
        <w:spacing w:after="120" w:before="240" w:line="340"/>
        <w:jc w:val="left"/>
      </w:pPr>
      <w:r>
        <w:rPr>
          <w:rFonts w:ascii="Times New Roman" w:eastAsia="SimHei" w:hAnsi="Times New Roman"/>
          <w:b/>
          <w:bCs/>
          <w:i w:val="false"/>
          <w:iCs w:val="false"/>
          <w:sz w:val="28"/>
          <w:szCs w:val="28"/>
        </w:rPr>
        <w:t xml:space="preserve">二、文件清单及用途</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2250"/>
        <w:gridCol w:w="2250"/>
        <w:gridCol w:w="2250"/>
        <w:gridCol w:w="2250"/>
      </w:tblGrid>
      <w:tr>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序号</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文件</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用途</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签署方</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01</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增资协议</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本轮投资方认购新增注册资本的交易主协议：增资安排、价款支付、交割先决条件、过渡期承诺、陈述保证、交割后义务、特别赔偿</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公司、现有股东、本轮投资方</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02</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股东协议</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交易完成后的公司治理与投资方权利总纲：董事会与保护性条款、转让限制、优先购买/共售/优先认购、反稀释、回购、清算优先、领售、股权激励、知情权、最惠等21条</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公司及交易完成后全体股东</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03</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公司章程（工商登记版）</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对外备案版章程，与股东协议构成双轨；保护性条款以可备案表达落入章程</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全体股东</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04</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董事会决议</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董事会层面批准增资方案、签署文件、办理变更登记</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全体董事</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05</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股东会决议（交割前·现有股东版）</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批准转让+弃优先购买权+批准增资+弃优先认购权+批准文件与章程，满足交割先决条件</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现有全体股东</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06</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股东会决议（交割后·含新股东版）</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交割后确认交易与股权结构、选举董事、通过新章程，供工商登记</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交易完成后全体股东</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07</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股权转让协议</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自然人老股东向本轮投资方转让股权：价款与支付、交割先决条件、税务、受让股权投资成本特别约定</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转让方、本轮投资方、公司、实际控制人</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08</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文件签约指引</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签署安排、份数矩阵、签字页回收与交割节奏管理</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（律师发各方）</w:t>
            </w:r>
          </w:p>
        </w:tc>
      </w:tr>
    </w:tbl>
    <w:p>
      <w:pPr>
        <w:keepNext/>
        <w:spacing w:after="120" w:before="240" w:line="340"/>
        <w:jc w:val="left"/>
      </w:pPr>
      <w:r>
        <w:rPr>
          <w:rFonts w:ascii="Times New Roman" w:eastAsia="SimHei" w:hAnsi="Times New Roman"/>
          <w:b/>
          <w:bCs/>
          <w:i w:val="false"/>
          <w:iCs w:val="false"/>
          <w:sz w:val="28"/>
          <w:szCs w:val="28"/>
        </w:rPr>
        <w:t xml:space="preserve">三、统一角色体系</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3000"/>
        <w:gridCol w:w="3000"/>
        <w:gridCol w:w="3000"/>
      </w:tblGrid>
      <w:tr>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角色</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含义</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对应签署身份</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【目标公司】</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被投资的有限责任公司</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公司/丙方一</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【创始股东A】【创始股东B】</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共同实际控制人（自然人），权利义务连带</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实际控制人/丙方二、三</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【员工持股平台】</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有限合伙企业，GP为创始股东A</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现有股东</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【投资方A】</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上一轮增资的领投机构，权利顺位最高（董事席位、保护性条款同意权、回购/清算第一顺位）</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现有股东/前轮投资方</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【投资方B】</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更早轮次机构投资人（董事席位）</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现有股东/前轮投资方</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【本轮投资方】</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本次通过增资+受让老股进入的投资人</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投资方/乙方</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【转让方一～四】</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出让老股的自然人股东</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甲方一～四</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【自然人股东一~N】</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其他自然人小股东</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现有股东</w:t>
            </w:r>
          </w:p>
        </w:tc>
      </w:tr>
    </w:tbl>
    <w:p>
      <w:pPr>
        <w:keepNext/>
        <w:spacing w:after="120" w:before="240" w:line="340"/>
        <w:jc w:val="left"/>
      </w:pPr>
      <w:r>
        <w:rPr>
          <w:rFonts w:ascii="Times New Roman" w:eastAsia="SimHei" w:hAnsi="Times New Roman"/>
          <w:b/>
          <w:bCs/>
          <w:i w:val="false"/>
          <w:iCs w:val="false"/>
          <w:sz w:val="28"/>
          <w:szCs w:val="28"/>
        </w:rPr>
        <w:t xml:space="preserve">四、变量填写与默认值约定</w:t>
      </w:r>
    </w:p>
    <w:p>
      <w:pPr>
        <w:spacing w:after="40" w:before="40" w:line="320"/>
        <w:ind w:firstLine="480"/>
        <w:jc w:val="both"/>
      </w:pPr>
      <w:r>
        <w:rPr>
          <w:rFonts w:ascii="Times New Roman" w:eastAsia="SimSun" w:hAnsi="Times New Roman"/>
          <w:b w:val="false"/>
          <w:bCs w:val="false"/>
          <w:i w:val="false"/>
          <w:iCs w:val="false"/>
          <w:sz w:val="24"/>
          <w:szCs w:val="24"/>
        </w:rPr>
        <w:t xml:space="preserve">1. 【●】为必填留空变量（名称、证件号、地址、金额、比例、日期等交易特异信息）。</w:t>
      </w:r>
    </w:p>
    <w:p>
      <w:pPr>
        <w:spacing w:after="40" w:before="40" w:line="320"/>
        <w:ind w:firstLine="480"/>
        <w:jc w:val="both"/>
      </w:pPr>
      <w:r>
        <w:rPr>
          <w:rFonts w:ascii="Times New Roman" w:eastAsia="SimSun" w:hAnsi="Times New Roman"/>
          <w:b w:val="false"/>
          <w:bCs w:val="false"/>
          <w:i w:val="false"/>
          <w:iCs w:val="false"/>
          <w:sz w:val="24"/>
          <w:szCs w:val="24"/>
        </w:rPr>
        <w:t xml:space="preserve">2. 【50】万元、【8%】、【15】个工作日等带数字的方括号为市场常见参考值，可直接采用或谈判调整；调整时注意全包联动（如回购年化利率在股东协议8.3条）。</w:t>
      </w:r>
    </w:p>
    <w:p>
      <w:pPr>
        <w:spacing w:after="40" w:before="40" w:line="320"/>
        <w:ind w:firstLine="480"/>
        <w:jc w:val="both"/>
      </w:pPr>
      <w:r>
        <w:rPr>
          <w:rFonts w:ascii="Times New Roman" w:eastAsia="SimSun" w:hAnsi="Times New Roman"/>
          <w:b w:val="false"/>
          <w:bCs w:val="false"/>
          <w:i w:val="false"/>
          <w:iCs w:val="false"/>
          <w:sz w:val="24"/>
          <w:szCs w:val="24"/>
        </w:rPr>
        <w:t xml:space="preserve">3. 【拟稿注：…】为拟稿指引，定稿前必须整段删除。</w:t>
      </w:r>
    </w:p>
    <w:p>
      <w:pPr>
        <w:keepNext/>
        <w:spacing w:after="120" w:before="240" w:line="340"/>
        <w:jc w:val="left"/>
      </w:pPr>
      <w:r>
        <w:rPr>
          <w:rFonts w:ascii="Times New Roman" w:eastAsia="SimHei" w:hAnsi="Times New Roman"/>
          <w:b/>
          <w:bCs/>
          <w:i w:val="false"/>
          <w:iCs w:val="false"/>
          <w:sz w:val="28"/>
          <w:szCs w:val="28"/>
        </w:rPr>
        <w:t xml:space="preserve">五、跨文件一致性检查表（定稿前逐项核对）</w:t>
      </w:r>
    </w:p>
    <w:p>
      <w:pPr>
        <w:spacing w:after="40" w:before="40" w:line="320"/>
        <w:ind w:firstLine="480"/>
        <w:jc w:val="both"/>
      </w:pPr>
      <w:r>
        <w:rPr>
          <w:rFonts w:ascii="Times New Roman" w:eastAsia="SimSun" w:hAnsi="Times New Roman"/>
          <w:b w:val="false"/>
          <w:bCs w:val="false"/>
          <w:i w:val="false"/>
          <w:iCs w:val="false"/>
          <w:sz w:val="24"/>
          <w:szCs w:val="24"/>
        </w:rPr>
        <w:t xml:space="preserve">1. 股权结构表出现在：股东协议鉴于条款、增资协议附件一、两份股东会决议——四处必须完全一致，认缴出资之和＝注册资本总额，比例合计100%；</w:t>
      </w:r>
    </w:p>
    <w:p>
      <w:pPr>
        <w:spacing w:after="40" w:before="40" w:line="320"/>
        <w:ind w:firstLine="480"/>
        <w:jc w:val="both"/>
      </w:pPr>
      <w:r>
        <w:rPr>
          <w:rFonts w:ascii="Times New Roman" w:eastAsia="SimSun" w:hAnsi="Times New Roman"/>
          <w:b w:val="false"/>
          <w:bCs w:val="false"/>
          <w:i w:val="false"/>
          <w:iCs w:val="false"/>
          <w:sz w:val="24"/>
          <w:szCs w:val="24"/>
        </w:rPr>
        <w:t xml:space="preserve">2. 各笔转让的"对应注册资本金"＝注册资本总额×转让比例；各笔转让价款之和＝目标股权转让价款总额（股转协议鉴于条款、第3.1条与两份股东会决议逐笔核对。原型交易文件即在决议中出现过三处注册资本金数字与股转协议不一致的错误，务必用公式复核）；</w:t>
      </w:r>
    </w:p>
    <w:p>
      <w:pPr>
        <w:spacing w:after="40" w:before="40" w:line="320"/>
        <w:ind w:firstLine="480"/>
        <w:jc w:val="both"/>
      </w:pPr>
      <w:r>
        <w:rPr>
          <w:rFonts w:ascii="Times New Roman" w:eastAsia="SimSun" w:hAnsi="Times New Roman"/>
          <w:b w:val="false"/>
          <w:bCs w:val="false"/>
          <w:i w:val="false"/>
          <w:iCs w:val="false"/>
          <w:sz w:val="24"/>
          <w:szCs w:val="24"/>
        </w:rPr>
        <w:t xml:space="preserve">3. 增资款拆分：计入注册资本部分＋计入资本公积部分＝增资款总额（增资协议2.1.1、3.1.1与决议第三项一致）；</w:t>
      </w:r>
    </w:p>
    <w:p>
      <w:pPr>
        <w:spacing w:after="40" w:before="40" w:line="320"/>
        <w:ind w:firstLine="480"/>
        <w:jc w:val="both"/>
      </w:pPr>
      <w:r>
        <w:rPr>
          <w:rFonts w:ascii="Times New Roman" w:eastAsia="SimSun" w:hAnsi="Times New Roman"/>
          <w:b w:val="false"/>
          <w:bCs w:val="false"/>
          <w:i w:val="false"/>
          <w:iCs w:val="false"/>
          <w:sz w:val="24"/>
          <w:szCs w:val="24"/>
        </w:rPr>
        <w:t xml:space="preserve">4. 受让老股的投资成本与起算日：股转协议7.2/7.3与股东协议8.3.2、9.1须一致；</w:t>
      </w:r>
    </w:p>
    <w:p>
      <w:pPr>
        <w:spacing w:after="40" w:before="40" w:line="320"/>
        <w:ind w:firstLine="480"/>
        <w:jc w:val="both"/>
      </w:pPr>
      <w:r>
        <w:rPr>
          <w:rFonts w:ascii="Times New Roman" w:eastAsia="SimSun" w:hAnsi="Times New Roman"/>
          <w:b w:val="false"/>
          <w:bCs w:val="false"/>
          <w:i w:val="false"/>
          <w:iCs w:val="false"/>
          <w:sz w:val="24"/>
          <w:szCs w:val="24"/>
        </w:rPr>
        <w:t xml:space="preserve">5. 合格发行上市截止日、回购触发日：股东协议1.1定义、8.1.1(1)、8.1.2(1)与增资协议1.1定义一致；</w:t>
      </w:r>
    </w:p>
    <w:p>
      <w:pPr>
        <w:spacing w:after="40" w:before="40" w:line="320"/>
        <w:ind w:firstLine="480"/>
        <w:jc w:val="both"/>
      </w:pPr>
      <w:r>
        <w:rPr>
          <w:rFonts w:ascii="Times New Roman" w:eastAsia="SimSun" w:hAnsi="Times New Roman"/>
          <w:b w:val="false"/>
          <w:bCs w:val="false"/>
          <w:i w:val="false"/>
          <w:iCs w:val="false"/>
          <w:sz w:val="24"/>
          <w:szCs w:val="24"/>
        </w:rPr>
        <w:t xml:space="preserve">6. 交易文件名称互引：三份主协议中"交易文件"定义所列文件名与实际签署文件名一致；</w:t>
      </w:r>
    </w:p>
    <w:p>
      <w:pPr>
        <w:spacing w:after="40" w:before="40" w:line="320"/>
        <w:ind w:firstLine="480"/>
        <w:jc w:val="both"/>
      </w:pPr>
      <w:r>
        <w:rPr>
          <w:rFonts w:ascii="Times New Roman" w:eastAsia="SimSun" w:hAnsi="Times New Roman"/>
          <w:b w:val="false"/>
          <w:bCs w:val="false"/>
          <w:i w:val="false"/>
          <w:iCs w:val="false"/>
          <w:sz w:val="24"/>
          <w:szCs w:val="24"/>
        </w:rPr>
        <w:t xml:space="preserve">7. 争议解决：全包统一采用仲裁（股东协议17.2、增资协议13.2、股转协议9.2），三处填写的仲裁机构与仲裁地必须一致；</w:t>
      </w:r>
    </w:p>
    <w:p>
      <w:pPr>
        <w:spacing w:after="40" w:before="40" w:line="320"/>
        <w:ind w:firstLine="480"/>
        <w:jc w:val="both"/>
      </w:pPr>
      <w:r>
        <w:rPr>
          <w:rFonts w:ascii="Times New Roman" w:eastAsia="SimSun" w:hAnsi="Times New Roman"/>
          <w:b w:val="false"/>
          <w:bCs w:val="false"/>
          <w:i w:val="false"/>
          <w:iCs w:val="false"/>
          <w:sz w:val="24"/>
          <w:szCs w:val="24"/>
        </w:rPr>
        <w:t xml:space="preserve">8. 签署份数：签约指引份数矩阵＝各文件末条"一式【●】份"。</w:t>
      </w:r>
    </w:p>
    <w:p>
      <w:pPr>
        <w:keepNext/>
        <w:spacing w:after="120" w:before="240" w:line="340"/>
        <w:jc w:val="left"/>
      </w:pPr>
      <w:r>
        <w:rPr>
          <w:rFonts w:ascii="Times New Roman" w:eastAsia="SimHei" w:hAnsi="Times New Roman"/>
          <w:b/>
          <w:bCs/>
          <w:i w:val="false"/>
          <w:iCs w:val="false"/>
          <w:sz w:val="28"/>
          <w:szCs w:val="28"/>
        </w:rPr>
        <w:t xml:space="preserve">六、签署与交割顺序（建议）</w:t>
      </w:r>
    </w:p>
    <w:p>
      <w:pPr>
        <w:spacing w:after="40" w:before="40" w:line="320"/>
        <w:ind w:firstLine="480"/>
        <w:jc w:val="both"/>
      </w:pPr>
      <w:r>
        <w:rPr>
          <w:rFonts w:ascii="Times New Roman" w:eastAsia="SimSun" w:hAnsi="Times New Roman"/>
          <w:b w:val="false"/>
          <w:bCs w:val="false"/>
          <w:i w:val="false"/>
          <w:iCs w:val="false"/>
          <w:sz w:val="24"/>
          <w:szCs w:val="24"/>
        </w:rPr>
        <w:t xml:space="preserve">1. 尽调完成→定稿全套文件→按08号指引收集签字页（日期留空）；</w:t>
      </w:r>
    </w:p>
    <w:p>
      <w:pPr>
        <w:spacing w:after="40" w:before="40" w:line="320"/>
        <w:ind w:firstLine="480"/>
        <w:jc w:val="both"/>
      </w:pPr>
      <w:r>
        <w:rPr>
          <w:rFonts w:ascii="Times New Roman" w:eastAsia="SimSun" w:hAnsi="Times New Roman"/>
          <w:b w:val="false"/>
          <w:bCs w:val="false"/>
          <w:i w:val="false"/>
          <w:iCs w:val="false"/>
          <w:sz w:val="24"/>
          <w:szCs w:val="24"/>
        </w:rPr>
        <w:t xml:space="preserve">2. 签署《增资协议》《股权转让协议》＋交割前股东会决议（05）＋董事会决议（04）；</w:t>
      </w:r>
    </w:p>
    <w:p>
      <w:pPr>
        <w:spacing w:after="40" w:before="40" w:line="320"/>
        <w:ind w:firstLine="480"/>
        <w:jc w:val="both"/>
      </w:pPr>
      <w:r>
        <w:rPr>
          <w:rFonts w:ascii="Times New Roman" w:eastAsia="SimSun" w:hAnsi="Times New Roman"/>
          <w:b w:val="false"/>
          <w:bCs w:val="false"/>
          <w:i w:val="false"/>
          <w:iCs w:val="false"/>
          <w:sz w:val="24"/>
          <w:szCs w:val="24"/>
        </w:rPr>
        <w:t xml:space="preserve">3. 交割先决条件满足→出具《增资交割先决条件满足确认函》（增资协议附件三）→投资方付款（增资款、转让款）；</w:t>
      </w:r>
    </w:p>
    <w:p>
      <w:pPr>
        <w:spacing w:after="40" w:before="40" w:line="320"/>
        <w:ind w:firstLine="480"/>
        <w:jc w:val="both"/>
      </w:pPr>
      <w:r>
        <w:rPr>
          <w:rFonts w:ascii="Times New Roman" w:eastAsia="SimSun" w:hAnsi="Times New Roman"/>
          <w:b w:val="false"/>
          <w:bCs w:val="false"/>
          <w:i w:val="false"/>
          <w:iCs w:val="false"/>
          <w:sz w:val="24"/>
          <w:szCs w:val="24"/>
        </w:rPr>
        <w:t xml:space="preserve">4. 签署《股东协议》＋新章程（03）＋交割后股东会决议（06）→办理工商变更登记；</w:t>
      </w:r>
    </w:p>
    <w:p>
      <w:pPr>
        <w:spacing w:after="40" w:before="40" w:line="320"/>
        <w:ind w:firstLine="480"/>
        <w:jc w:val="both"/>
      </w:pPr>
      <w:r>
        <w:rPr>
          <w:rFonts w:ascii="Times New Roman" w:eastAsia="SimSun" w:hAnsi="Times New Roman"/>
          <w:b w:val="false"/>
          <w:bCs w:val="false"/>
          <w:i w:val="false"/>
          <w:iCs w:val="false"/>
          <w:sz w:val="24"/>
          <w:szCs w:val="24"/>
        </w:rPr>
        <w:t xml:space="preserve">5. 交割后事项跟踪：出资证明书、股东名册、完税凭证、增资协议第七条各项整改事项。</w:t>
      </w:r>
    </w:p>
    <w:p>
      <w:pPr>
        <w:spacing w:after="60" w:before="60" w:line="300"/>
        <w:ind w:firstLine="420"/>
        <w:jc w:val="both"/>
      </w:pPr>
      <w:r>
        <w:rPr>
          <w:rFonts w:ascii="Times New Roman" w:eastAsia="SimSun" w:hAnsi="Times New Roman"/>
          <w:b w:val="false"/>
          <w:bCs w:val="false"/>
          <w:i/>
          <w:iCs/>
          <w:color w:val="7F7F7F"/>
          <w:sz w:val="21"/>
          <w:szCs w:val="21"/>
        </w:rPr>
        <w:t xml:space="preserve">【拟稿注：如采用增资协议第4.1.11条"先登记后付款"安排，上述第3、4步顺序相应调整。】</w:t>
      </w:r>
    </w:p>
    <w:p>
      <w:pPr>
        <w:keepNext/>
        <w:spacing w:after="120" w:before="240" w:line="340"/>
        <w:jc w:val="left"/>
      </w:pPr>
      <w:r>
        <w:rPr>
          <w:rFonts w:ascii="Times New Roman" w:eastAsia="SimHei" w:hAnsi="Times New Roman"/>
          <w:b/>
          <w:bCs/>
          <w:i w:val="false"/>
          <w:iCs w:val="false"/>
          <w:sz w:val="28"/>
          <w:szCs w:val="28"/>
        </w:rPr>
        <w:t xml:space="preserve">七、重要提示</w:t>
      </w:r>
    </w:p>
    <w:p>
      <w:pPr>
        <w:spacing w:after="40" w:before="40" w:line="320"/>
        <w:ind w:firstLine="480"/>
        <w:jc w:val="both"/>
      </w:pPr>
      <w:r>
        <w:rPr>
          <w:rFonts w:ascii="Times New Roman" w:eastAsia="SimSun" w:hAnsi="Times New Roman"/>
          <w:b w:val="false"/>
          <w:bCs w:val="false"/>
          <w:i w:val="false"/>
          <w:iCs w:val="false"/>
          <w:sz w:val="24"/>
          <w:szCs w:val="24"/>
        </w:rPr>
        <w:t xml:space="preserve">1. 本包为示范文本，供执业律师在具体交易中参考使用，不构成对任何具体交易的法律意见；使用前应根据交易实际情况、最新法律法规及监管口径逐条审查调整。</w:t>
      </w:r>
    </w:p>
    <w:p>
      <w:pPr>
        <w:spacing w:after="40" w:before="40" w:line="320"/>
        <w:ind w:firstLine="480"/>
        <w:jc w:val="both"/>
      </w:pPr>
      <w:r>
        <w:rPr>
          <w:rFonts w:ascii="Times New Roman" w:eastAsia="SimSun" w:hAnsi="Times New Roman"/>
          <w:b w:val="false"/>
          <w:bCs w:val="false"/>
          <w:i w:val="false"/>
          <w:iCs w:val="false"/>
          <w:sz w:val="24"/>
          <w:szCs w:val="24"/>
        </w:rPr>
        <w:t xml:space="preserve">2. 本包按《中华人民共和国公司法》（2023年修订，2024年7月1日施行）体例下的有限责任公司起草；如目标公司为股份有限公司或涉及国资、外资、上市公司等特殊主体，须另行调整。</w:t>
      </w:r>
    </w:p>
    <w:p>
      <w:pPr>
        <w:spacing w:after="40" w:before="40" w:line="320"/>
        <w:ind w:firstLine="480"/>
        <w:jc w:val="both"/>
      </w:pPr>
      <w:r>
        <w:rPr>
          <w:rFonts w:ascii="Times New Roman" w:eastAsia="SimSun" w:hAnsi="Times New Roman"/>
          <w:b w:val="false"/>
          <w:bCs w:val="false"/>
          <w:i w:val="false"/>
          <w:iCs w:val="false"/>
          <w:sz w:val="24"/>
          <w:szCs w:val="24"/>
        </w:rPr>
        <w:t xml:space="preserve">3. 回购条款的效力与可执行性（尤其以公司为回购义务人的情形）受司法裁判口径影响较大，使用时请核查最新裁判规则并做好减资程序等配套设计。</w:t>
      </w:r>
    </w:p>
    <w:p>
      <w:pPr>
        <w:ind w:firstLine="420"/>
      </w:pPr>
      <w:r>
        <w:rPr>
          <w:rFonts w:ascii="Times New Roman" w:hAnsi="Times New Roman" w:eastAsia="SimSun"/>
          <w:i/>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00_使用说明</dc:title>
  <dc:creator>谭棉花律师法律文书库</dc:creator>
  <cp:lastModifiedBy>Un-named</cp:lastModifiedBy>
  <cp:revision>1</cp:revision>
  <dcterms:created xsi:type="dcterms:W3CDTF">2026-07-12T18:50:19.413Z</dcterms:created>
  <dcterms:modified xsi:type="dcterms:W3CDTF">2026-07-12T18:50:19.413Z</dcterms:modified>
</cp:coreProperties>
</file>

<file path=docProps/custom.xml><?xml version="1.0" encoding="utf-8"?>
<Properties xmlns="http://schemas.openxmlformats.org/officeDocument/2006/custom-properties" xmlns:vt="http://schemas.openxmlformats.org/officeDocument/2006/docPropsVTypes"/>
</file>