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律师复核提示</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提示供承办律师在将本包文件用于具体境外投资项目前逐份核验使用：第一部分按文件列明必核事项与常见风险点，第二部分列明贯穿全包的横向核验维度。本包仅覆盖境内端中国法文件，境外端事项一律以设立地或标的所在地律师书面意见核验为前提；任何一份文件的选用均以完成对应核验为前提，不宜未经核验直接对外报送或签署。】</w:t>
      </w:r>
    </w:p>
    <w:p>
      <w:pPr>
        <w:spacing w:after="60" w:before="60" w:line="300"/>
        <w:ind w:firstLine="420"/>
        <w:jc w:val="both"/>
      </w:pPr>
      <w:r>
        <w:rPr>
          <w:rFonts w:ascii="Times New Roman" w:eastAsia="SimSun" w:hAnsi="Times New Roman"/>
          <w:b w:val="false"/>
          <w:bCs w:val="false"/>
          <w:i/>
          <w:iCs/>
          <w:color w:val="7F7F7F"/>
          <w:sz w:val="21"/>
          <w:szCs w:val="21"/>
        </w:rPr>
        <w:t xml:space="preserve">【拟稿注：涉国有企业的，须另行履行国有资产监督管理程序；上市公司须履行董事会、股东大会决策程序与信息披露义务，本包文件不替代该等程序。】</w:t>
      </w:r>
    </w:p>
    <w:p>
      <w:pPr>
        <w:keepNext/>
        <w:spacing w:after="120" w:before="240" w:line="340"/>
        <w:jc w:val="left"/>
      </w:pPr>
      <w:r>
        <w:rPr>
          <w:rFonts w:ascii="Times New Roman" w:eastAsia="SimHei" w:hAnsi="Times New Roman"/>
          <w:b/>
          <w:bCs/>
          <w:i w:val="false"/>
          <w:iCs w:val="false"/>
          <w:sz w:val="28"/>
          <w:szCs w:val="28"/>
        </w:rPr>
        <w:t xml:space="preserve">一、逐份复核要点</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3000"/>
        <w:gridCol w:w="3000"/>
        <w:gridCol w:w="3000"/>
      </w:tblGrid>
      <w:tr>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文件</w:t>
            </w:r>
          </w:p>
        </w:tc>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必核事项</w:t>
            </w:r>
          </w:p>
        </w:tc>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常见风险点</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01_境外投资立项决策文件套件（股东会决议·董事会决议·授权委托书）</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调取公司章程核验境外投资决策权限归属，确定股东会决议与董事会决议二选一或叠加；决议载明的投资主体、交易方式、直接与最终目的地、中方投资额（人民币与美元双口径）、出资方式、资金来源、股权路径与备案申报文件逐字同口径；授权委托书权限覆盖发改、商务、外汇三线及境外手续，期限明确</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决议与备案表口径不一致致补正；漏授权外汇登记环节；章程保留事项越权决策</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02_境外投资项目备案申请报告（致省级发展改革部门）</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核验管辖层级（中方投资额3亿美元及以上报国家发展改革委备案，3亿美元以下地方企业报省级）；股权架构追溯至最终实际控制人；非敏感类说明逐项对照《境外投资敏感行业目录（2018年版）》与国办发〔2017〕74号排除；附件与发改线材料清单对应</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误将敏感类、限制类按普通备案申报；资金来源支持性文件不足；请示金额与决议、意向书脱节</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03_共同投资协议（境内投资人联合出境）</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结构三选一选定后删除未用版式；各投资主体各自ODI手续口径；资金支付、股权交割均以完成核准或备案及外汇登记为前置；未获批解除机制期限与交易时间表匹配；治理条款对境外项目公司章程的映射经当地律师核验</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结构版式混用；共同投资方未办ODI手续即出资；同轨违约金与费用列举参数被删改</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04_境外投资意向书（LOI）</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条款效力分层逐条点名核验（仅保密、排他、费用、争议解决具约束力）；预计汇出资金额度上限是否载明（据此启动备案属部分省级实操口径，以项目所在地主管部门意见为准）；排他期、终止条款与备案节奏衔接；仲裁条款与后续正式协议一致并虑及裁决执行便利</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全文被认定具约束力；意向书金额与此后申报额脱节触发变更；仲裁机构与仲裁地选择未作论证</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05_ODI备案材料与流程清单</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对照项目所在地省级主管部门现行要求逐项更新（地方口径差异大）；并购类附加材料（尽职调查报告、境外并购事项前期报告表）齐备；证书类型选择（仅作投资平台选并购备案，平台外开展业务先新设再并购）；官方表单以官方格式文本或在线系统生成版本为准</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沿用清单未核地方差异；尽调未完成即申报；自拟仿官方表样</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06_境外子公司设立信息采集表</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表内境外法事项一律以设立地律师书面意见核验为准，不得以一般化描述替代当地法律意见；当地律师核验结论栏与联系记录栏实际填写并归档</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将采集表默认描述当作境外法结论；漏采投资许可对资金汇入汇出、利润汇回的保障功能</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07_跨境并购尽职调查清单</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尽调范围与备案要求匹配（尽职调查报告为并购类商务备案材料，亦为发改真实性审查关注重点）；合规与制裁模块由具备资质的顾问执行；境外法模块由当地律师执行并出具书面报告</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尽调报告未覆盖备案审查关注点；制裁与出口管制筛查缺失；清单本身被当作尽调报告提交</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08_境外投资后续合规义务清单</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台账各项时限与依据逐项对照现行规定及项目所在地要求更新；责任部门栏落实到具体岗位；变更情形监测（尤其中方投资额变化20%或1亿美元触发线）嵌入公司业务流程</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台账建而不用、无人盯办；变更情形发生后才申请；证书届期失效无人预警</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09_境外投资管理制度（企业内控模板）</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分级授权表金额标准与公司章程及其他内控制度衔接；决策机构设置与实际治理结构一致（未设董事会的调整表述）；国企、上市公司叠加程序衔接条款增设；境外子公司管控条款经当地律师核验不违反设立地强制性规定</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制度与章程权限冲突；授权表金额留白即发布；境外管控条款与当地强制性规定冲突</w:t>
            </w:r>
          </w:p>
        </w:tc>
      </w:tr>
    </w:tbl>
    <w:p>
      <w:pPr>
        <w:keepNext/>
        <w:spacing w:after="120" w:before="240" w:line="340"/>
        <w:jc w:val="left"/>
      </w:pPr>
      <w:r>
        <w:rPr>
          <w:rFonts w:ascii="Times New Roman" w:eastAsia="SimHei" w:hAnsi="Times New Roman"/>
          <w:b/>
          <w:bCs/>
          <w:i w:val="false"/>
          <w:iCs w:val="false"/>
          <w:sz w:val="28"/>
          <w:szCs w:val="28"/>
        </w:rPr>
        <w:t xml:space="preserve">二、全包横向必核维度</w:t>
      </w:r>
    </w:p>
    <w:p>
      <w:pPr>
        <w:spacing w:after="40" w:before="40" w:line="320"/>
        <w:ind w:firstLine="480"/>
        <w:jc w:val="both"/>
      </w:pPr>
      <w:r>
        <w:rPr>
          <w:rFonts w:ascii="Times New Roman" w:eastAsia="SimSun" w:hAnsi="Times New Roman"/>
          <w:b w:val="false"/>
          <w:bCs w:val="false"/>
          <w:i w:val="false"/>
          <w:iCs w:val="false"/>
          <w:sz w:val="24"/>
          <w:szCs w:val="24"/>
        </w:rPr>
        <w:t xml:space="preserve">1、敏感类与限制类定性：逐项对照《境外投资敏感行业目录（2018年版）》（发改外资〔2018〕251号）与国办发〔2017〕74号指导意见完成定性；限制类含在境外设立无具体实业项目的股权投资基金或投资平台，涉境外并购基金、SPC多层出境结构的尤须审慎，先与省级发展改革部门沟通定性再设计交易结构。</w:t>
      </w:r>
    </w:p>
    <w:p>
      <w:pPr>
        <w:spacing w:after="40" w:before="40" w:line="320"/>
        <w:ind w:firstLine="480"/>
        <w:jc w:val="both"/>
      </w:pPr>
      <w:r>
        <w:rPr>
          <w:rFonts w:ascii="Times New Roman" w:eastAsia="SimSun" w:hAnsi="Times New Roman"/>
          <w:b w:val="false"/>
          <w:bCs w:val="false"/>
          <w:i w:val="false"/>
          <w:iCs w:val="false"/>
          <w:sz w:val="24"/>
          <w:szCs w:val="24"/>
        </w:rPr>
        <w:t xml:space="preserve">2、国资与上市公司叠加程序：涉国有企业核验国有资产监督管理程序，上市公司核验董事会、股东大会决策与信息披露义务的履行安排；本包文件不替代该等程序。</w:t>
      </w:r>
    </w:p>
    <w:p>
      <w:pPr>
        <w:spacing w:after="40" w:before="40" w:line="320"/>
        <w:ind w:firstLine="480"/>
        <w:jc w:val="both"/>
      </w:pPr>
      <w:r>
        <w:rPr>
          <w:rFonts w:ascii="Times New Roman" w:eastAsia="SimSun" w:hAnsi="Times New Roman"/>
          <w:b w:val="false"/>
          <w:bCs w:val="false"/>
          <w:i w:val="false"/>
          <w:iCs w:val="false"/>
          <w:sz w:val="24"/>
          <w:szCs w:val="24"/>
        </w:rPr>
        <w:t xml:space="preserve">3、资金来源真实合规穿透：以银行资信证明、验资报告、经审计财务报表核验资金来源，股权架构图追溯至最终实际控制人；新设类核验可行性研究报告对实际运营需求的说明，并购类核验境内主体与境外企业的业务关联性与商业逻辑。</w:t>
      </w:r>
    </w:p>
    <w:p>
      <w:pPr>
        <w:spacing w:after="40" w:before="40" w:line="320"/>
        <w:ind w:firstLine="480"/>
        <w:jc w:val="both"/>
      </w:pPr>
      <w:r>
        <w:rPr>
          <w:rFonts w:ascii="Times New Roman" w:eastAsia="SimSun" w:hAnsi="Times New Roman"/>
          <w:b w:val="false"/>
          <w:bCs w:val="false"/>
          <w:i w:val="false"/>
          <w:iCs w:val="false"/>
          <w:sz w:val="24"/>
          <w:szCs w:val="24"/>
        </w:rPr>
        <w:t xml:space="preserve">4、申报口径一致性核对：决议、请示、意向书、备案申报与外汇登记所载投资主体、中方投资额（双口径）、出资方式、股权路径逐字核对；任何一处调整须同步其余各处并评估是否触发变更手续。</w:t>
      </w:r>
    </w:p>
    <w:p>
      <w:pPr>
        <w:spacing w:after="40" w:before="40" w:line="320"/>
        <w:ind w:firstLine="480"/>
        <w:jc w:val="both"/>
      </w:pPr>
      <w:r>
        <w:rPr>
          <w:rFonts w:ascii="Times New Roman" w:eastAsia="SimSun" w:hAnsi="Times New Roman"/>
          <w:b w:val="false"/>
          <w:bCs w:val="false"/>
          <w:i w:val="false"/>
          <w:iCs w:val="false"/>
          <w:sz w:val="24"/>
          <w:szCs w:val="24"/>
        </w:rPr>
        <w:t xml:space="preserve">5、证书有效期与交易节奏匹配：核准文件、备案通知书及《企业境外投资证书》2年有效期与交易时间表比对；发改线延期须于届满【30】个工作日前申请，证书届期未实施须重新办理，交割与汇出安排预留手续时间。</w:t>
      </w:r>
    </w:p>
    <w:p>
      <w:pPr>
        <w:spacing w:after="40" w:before="40" w:line="320"/>
        <w:ind w:firstLine="480"/>
        <w:jc w:val="both"/>
      </w:pPr>
      <w:r>
        <w:rPr>
          <w:rFonts w:ascii="Times New Roman" w:eastAsia="SimSun" w:hAnsi="Times New Roman"/>
          <w:b w:val="false"/>
          <w:bCs w:val="false"/>
          <w:i w:val="false"/>
          <w:iCs w:val="false"/>
          <w:sz w:val="24"/>
          <w:szCs w:val="24"/>
        </w:rPr>
        <w:t xml:space="preserve">6、境外端当地律师意见落实：本包06、07涉境外法事项均取得设立地或标的所在地律师书面意见并归档；本包不含任何境外法结论，境外端决策以当地律师书面意见为唯一依据。</w:t>
      </w:r>
    </w:p>
    <w:p>
      <w:pPr>
        <w:spacing w:after="40" w:before="40" w:line="320"/>
        <w:ind w:firstLine="480"/>
        <w:jc w:val="both"/>
      </w:pPr>
      <w:r>
        <w:rPr>
          <w:rFonts w:ascii="Times New Roman" w:eastAsia="SimSun" w:hAnsi="Times New Roman"/>
          <w:b w:val="false"/>
          <w:bCs w:val="false"/>
          <w:i w:val="false"/>
          <w:iCs w:val="false"/>
          <w:sz w:val="24"/>
          <w:szCs w:val="24"/>
        </w:rPr>
        <w:t xml:space="preserve">7、制裁与出口管制专项：跨境并购中对交易对方、标的资产涉制裁名单、出口管制物项的核查由具备资质的顾问专项执行；境内端核验交易结构与申报材料的如实披露。</w:t>
      </w:r>
    </w:p>
    <w:p>
      <w:pPr>
        <w:spacing w:after="40" w:before="40" w:line="320"/>
        <w:ind w:firstLine="480"/>
        <w:jc w:val="both"/>
      </w:pPr>
      <w:r>
        <w:rPr>
          <w:rFonts w:ascii="Times New Roman" w:eastAsia="SimSun" w:hAnsi="Times New Roman"/>
          <w:b w:val="false"/>
          <w:bCs w:val="false"/>
          <w:i w:val="false"/>
          <w:iCs w:val="false"/>
          <w:sz w:val="24"/>
          <w:szCs w:val="24"/>
        </w:rPr>
        <w:t xml:space="preserve">8、个人出境路径不适用：个人境外投资（国家外汇管理局关于境内居民通过特殊目的公司境外投融资及返程投资外汇管理有关问题的通知〔汇发〔2014〕37号〕路径）不在本包范围；个人股东参与出境架构的另行专项论证，不得套用本包文件。</w:t>
      </w:r>
    </w:p>
    <w:p>
      <w:pPr>
        <w:spacing w:after="40" w:before="40" w:line="320"/>
        <w:ind w:firstLine="480"/>
        <w:jc w:val="both"/>
      </w:pPr>
      <w:r>
        <w:rPr>
          <w:rFonts w:ascii="Times New Roman" w:eastAsia="SimSun" w:hAnsi="Times New Roman"/>
          <w:b w:val="false"/>
          <w:bCs w:val="false"/>
          <w:i w:val="false"/>
          <w:iCs w:val="false"/>
          <w:sz w:val="24"/>
          <w:szCs w:val="24"/>
        </w:rPr>
        <w:t xml:space="preserve">9、历史未备案瑕疵排查：核对投资主体历史增资、投资是否完成发改、商务、外汇手续；发现瑕疵的先与主管部门沟通补救方案再启动新申报；行政处罚时效经过不等于瑕疵消灭，新申报材料中的股权路径仍会暴露历史层级，排查与补救另见本包08《境外投资后续合规义务清单》。</w:t>
      </w:r>
    </w:p>
    <w:p>
      <w:pPr>
        <w:keepNext/>
        <w:spacing w:after="120" w:before="240" w:line="340"/>
        <w:jc w:val="left"/>
      </w:pPr>
      <w:r>
        <w:rPr>
          <w:rFonts w:ascii="Times New Roman" w:eastAsia="SimHei" w:hAnsi="Times New Roman"/>
          <w:b/>
          <w:bCs/>
          <w:i w:val="false"/>
          <w:iCs w:val="false"/>
          <w:sz w:val="28"/>
          <w:szCs w:val="28"/>
        </w:rPr>
        <w:t xml:space="preserve">三、定位声明</w:t>
      </w:r>
    </w:p>
    <w:p>
      <w:pPr>
        <w:spacing w:after="40" w:before="40" w:line="320"/>
        <w:ind w:firstLine="480"/>
        <w:jc w:val="both"/>
      </w:pPr>
      <w:r>
        <w:rPr>
          <w:rFonts w:ascii="Times New Roman" w:eastAsia="SimSun" w:hAnsi="Times New Roman"/>
          <w:b w:val="false"/>
          <w:bCs w:val="false"/>
          <w:i w:val="false"/>
          <w:iCs w:val="false"/>
          <w:sz w:val="24"/>
          <w:szCs w:val="24"/>
        </w:rPr>
        <w:t xml:space="preserve">本包各文件均为示范文本，具体项目须由律师结合项目定性排查结论、项目所在地主管部门现行口径、公司章程与治理结构及设立地律师书面意见核验后调整；未经该等核验，各文件的条款默认值不应直接用于对外报送或签署。</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10_律师复核提示</dc:title>
  <dc:creator>谭棉花律师法律文书库</dc:creator>
  <cp:lastModifiedBy>Un-named</cp:lastModifiedBy>
  <cp:revision>1</cp:revision>
  <dcterms:created xsi:type="dcterms:W3CDTF">2026-07-19T07:53:20.765Z</dcterms:created>
  <dcterms:modified xsi:type="dcterms:W3CDTF">2026-07-19T07:53:20.765Z</dcterms:modified>
</cp:coreProperties>
</file>

<file path=docProps/custom.xml><?xml version="1.0" encoding="utf-8"?>
<Properties xmlns="http://schemas.openxmlformats.org/officeDocument/2006/custom-properties" xmlns:vt="http://schemas.openxmlformats.org/officeDocument/2006/docPropsVTypes"/>
</file>