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240" w:line="360"/>
        <w:jc w:val="center"/>
      </w:pPr>
      <w:r>
        <w:rPr>
          <w:rFonts w:ascii="Times New Roman" w:eastAsia="SimHei" w:hAnsi="Times New Roman"/>
          <w:b/>
          <w:bCs/>
          <w:i w:val="false"/>
          <w:iCs w:val="false"/>
          <w:sz w:val="36"/>
          <w:szCs w:val="36"/>
        </w:rPr>
        <w:t xml:space="preserve">境外投资管理制度（企业内控模板）</w:t>
      </w:r>
    </w:p>
    <w:p>
      <w:pPr>
        <w:spacing w:after="60" w:before="60" w:line="320"/>
        <w:jc w:val="center"/>
      </w:pPr>
      <w:r>
        <w:rPr>
          <w:rFonts w:ascii="Times New Roman" w:eastAsia="SimSun" w:hAnsi="Times New Roman"/>
          <w:b w:val="false"/>
          <w:bCs w:val="false"/>
          <w:i w:val="false"/>
          <w:iCs w:val="false"/>
          <w:sz w:val="28"/>
          <w:szCs w:val="28"/>
        </w:rPr>
        <w:t xml:space="preserve">（示范文本）</w:t>
      </w:r>
    </w:p>
    <w:p>
      <w:pPr>
        <w:spacing w:after="60" w:before="60" w:line="300"/>
        <w:ind w:firstLine="420"/>
        <w:jc w:val="both"/>
      </w:pPr>
      <w:r>
        <w:rPr>
          <w:rFonts w:ascii="Times New Roman" w:eastAsia="SimSun" w:hAnsi="Times New Roman"/>
          <w:b w:val="false"/>
          <w:bCs w:val="false"/>
          <w:i/>
          <w:iCs/>
          <w:color w:val="7F7F7F"/>
          <w:sz w:val="21"/>
          <w:szCs w:val="21"/>
        </w:rPr>
        <w:t xml:space="preserve">【拟稿注：本制度为境内企业境外投资内控制度模板，供【境内投资方】结合公司章程、组织架构与既有内控体系调整后发布施行；与本包08《境外投资后续合规义务清单》（台账与责任条款逐项对应，改动一处须同步另一处）、05《ODI备案材料与流程清单》配套。未设董事会或总经理办公会的公司，按实际治理结构调整机构表述与分级授权表。】</w:t>
      </w:r>
    </w:p>
    <w:p>
      <w:pPr>
        <w:spacing w:after="60" w:before="60" w:line="300"/>
        <w:ind w:firstLine="420"/>
        <w:jc w:val="both"/>
      </w:pPr>
      <w:r>
        <w:rPr>
          <w:rFonts w:ascii="Times New Roman" w:eastAsia="SimSun" w:hAnsi="Times New Roman"/>
          <w:b w:val="false"/>
          <w:bCs w:val="false"/>
          <w:i/>
          <w:iCs/>
          <w:color w:val="7F7F7F"/>
          <w:sz w:val="21"/>
          <w:szCs w:val="21"/>
        </w:rPr>
        <w:t xml:space="preserve">【拟稿注：涉国有企业的，须另行履行国有资产监督管理程序；上市公司须履行董事会、股东大会决策程序与信息披露义务——本制度不替代该等程序，相关公司应另行增设衔接条款。】</w:t>
      </w:r>
    </w:p>
    <w:p>
      <w:pPr>
        <w:keepNext/>
        <w:spacing w:after="120" w:before="240" w:line="340"/>
        <w:jc w:val="left"/>
      </w:pPr>
      <w:r>
        <w:rPr>
          <w:rFonts w:ascii="Times New Roman" w:eastAsia="SimHei" w:hAnsi="Times New Roman"/>
          <w:b/>
          <w:bCs/>
          <w:i w:val="false"/>
          <w:iCs w:val="false"/>
          <w:sz w:val="28"/>
          <w:szCs w:val="28"/>
        </w:rPr>
        <w:t xml:space="preserve">第一章 总则</w:t>
      </w:r>
    </w:p>
    <w:p>
      <w:pPr>
        <w:spacing w:after="40" w:before="40" w:line="320"/>
        <w:ind w:firstLine="480"/>
        <w:jc w:val="both"/>
      </w:pPr>
      <w:r>
        <w:rPr>
          <w:rFonts w:ascii="Times New Roman" w:eastAsia="SimSun" w:hAnsi="Times New Roman"/>
          <w:b w:val="false"/>
          <w:bCs w:val="false"/>
          <w:i w:val="false"/>
          <w:iCs w:val="false"/>
          <w:sz w:val="24"/>
          <w:szCs w:val="24"/>
        </w:rPr>
        <w:t xml:space="preserve">第一条 为规范公司境外投资行为，控制境外投资风险，依据《企业境外投资管理办法》（国家发展和改革委员会令第11号）、《境外投资管理办法》（商务部令2014年第3号）、《境内机构境外直接投资外汇管理规定》（汇发〔2009〕30号发布）、国办发〔2017〕74号指导意见等规定及公司章程，制定本制度。</w:t>
      </w:r>
    </w:p>
    <w:p>
      <w:pPr>
        <w:spacing w:after="40" w:before="40" w:line="320"/>
        <w:ind w:firstLine="480"/>
        <w:jc w:val="both"/>
      </w:pPr>
      <w:r>
        <w:rPr>
          <w:rFonts w:ascii="Times New Roman" w:eastAsia="SimSun" w:hAnsi="Times New Roman"/>
          <w:b w:val="false"/>
          <w:bCs w:val="false"/>
          <w:i w:val="false"/>
          <w:iCs w:val="false"/>
          <w:sz w:val="24"/>
          <w:szCs w:val="24"/>
        </w:rPr>
        <w:t xml:space="preserve">第二条 本制度适用于公司及公司控股子公司直接或者通过其控制的境外企业，以投入资产、权益或者提供融资、担保等方式，获得境外所有权、控制权、经营管理权及其他相关权益的投资活动（《企业境外投资管理办法》第2条）。个人境外投资不适用本制度。</w:t>
      </w:r>
    </w:p>
    <w:p>
      <w:pPr>
        <w:spacing w:after="40" w:before="40" w:line="320"/>
        <w:ind w:firstLine="480"/>
        <w:jc w:val="both"/>
      </w:pPr>
      <w:r>
        <w:rPr>
          <w:rFonts w:ascii="Times New Roman" w:eastAsia="SimSun" w:hAnsi="Times New Roman"/>
          <w:b w:val="false"/>
          <w:bCs w:val="false"/>
          <w:i w:val="false"/>
          <w:iCs w:val="false"/>
          <w:sz w:val="24"/>
          <w:szCs w:val="24"/>
        </w:rPr>
        <w:t xml:space="preserve">第三条 公司境外投资遵循下列基本原则：</w:t>
      </w:r>
    </w:p>
    <w:p>
      <w:pPr>
        <w:spacing w:after="40" w:before="40" w:line="320"/>
        <w:ind w:firstLine="480"/>
        <w:jc w:val="both"/>
      </w:pPr>
      <w:r>
        <w:rPr>
          <w:rFonts w:ascii="Times New Roman" w:eastAsia="SimSun" w:hAnsi="Times New Roman"/>
          <w:b w:val="false"/>
          <w:bCs w:val="false"/>
          <w:i w:val="false"/>
          <w:iCs w:val="false"/>
          <w:sz w:val="24"/>
          <w:szCs w:val="24"/>
        </w:rPr>
        <w:t xml:space="preserve">（一）先证后投、未批不动：属于核准、备案管理范围的项目，应当在项目实施前（投入资产、权益或提供融资、担保之前）取得核准文件或备案通知书；</w:t>
      </w:r>
    </w:p>
    <w:p>
      <w:pPr>
        <w:spacing w:after="40" w:before="40" w:line="320"/>
        <w:ind w:firstLine="480"/>
        <w:jc w:val="both"/>
      </w:pPr>
      <w:r>
        <w:rPr>
          <w:rFonts w:ascii="Times New Roman" w:eastAsia="SimSun" w:hAnsi="Times New Roman"/>
          <w:b w:val="false"/>
          <w:bCs w:val="false"/>
          <w:i w:val="false"/>
          <w:iCs w:val="false"/>
          <w:sz w:val="24"/>
          <w:szCs w:val="24"/>
        </w:rPr>
        <w:t xml:space="preserve">（二）申报口径一致：决议、请示、意向书、备案申报与外汇登记所载投资主体、中方投资额、出资方式、股权路径为同一套口径，调整按本制度第六章办理；</w:t>
      </w:r>
    </w:p>
    <w:p>
      <w:pPr>
        <w:spacing w:after="40" w:before="40" w:line="320"/>
        <w:ind w:firstLine="480"/>
        <w:jc w:val="both"/>
      </w:pPr>
      <w:r>
        <w:rPr>
          <w:rFonts w:ascii="Times New Roman" w:eastAsia="SimSun" w:hAnsi="Times New Roman"/>
          <w:b w:val="false"/>
          <w:bCs w:val="false"/>
          <w:i w:val="false"/>
          <w:iCs w:val="false"/>
          <w:sz w:val="24"/>
          <w:szCs w:val="24"/>
        </w:rPr>
        <w:t xml:space="preserve">（三）敏感类与限制类前置排查：交易结构设计前完成行业与国别定性；</w:t>
      </w:r>
    </w:p>
    <w:p>
      <w:pPr>
        <w:spacing w:after="40" w:before="40" w:line="320"/>
        <w:ind w:firstLine="480"/>
        <w:jc w:val="both"/>
      </w:pPr>
      <w:r>
        <w:rPr>
          <w:rFonts w:ascii="Times New Roman" w:eastAsia="SimSun" w:hAnsi="Times New Roman"/>
          <w:b w:val="false"/>
          <w:bCs w:val="false"/>
          <w:i w:val="false"/>
          <w:iCs w:val="false"/>
          <w:sz w:val="24"/>
          <w:szCs w:val="24"/>
        </w:rPr>
        <w:t xml:space="preserve">（四）境外端零结论：设立地法律事项以当地律师书面意见为准，公司内部文件不对境外法律作判断。</w:t>
      </w:r>
    </w:p>
    <w:p>
      <w:pPr>
        <w:keepNext/>
        <w:spacing w:after="120" w:before="240" w:line="340"/>
        <w:jc w:val="left"/>
      </w:pPr>
      <w:r>
        <w:rPr>
          <w:rFonts w:ascii="Times New Roman" w:eastAsia="SimHei" w:hAnsi="Times New Roman"/>
          <w:b/>
          <w:bCs/>
          <w:i w:val="false"/>
          <w:iCs w:val="false"/>
          <w:sz w:val="28"/>
          <w:szCs w:val="28"/>
        </w:rPr>
        <w:t xml:space="preserve">第二章 职责分工</w:t>
      </w:r>
    </w:p>
    <w:p>
      <w:pPr>
        <w:spacing w:after="40" w:before="40" w:line="320"/>
        <w:ind w:firstLine="480"/>
        <w:jc w:val="both"/>
      </w:pPr>
      <w:r>
        <w:rPr>
          <w:rFonts w:ascii="Times New Roman" w:eastAsia="SimSun" w:hAnsi="Times New Roman"/>
          <w:b w:val="false"/>
          <w:bCs w:val="false"/>
          <w:i w:val="false"/>
          <w:iCs w:val="false"/>
          <w:sz w:val="24"/>
          <w:szCs w:val="24"/>
        </w:rPr>
        <w:t xml:space="preserve">第四条 股东会行使境外投资重大事项决策权，审议批准达到分级授权标准的立项、变更与退出事项。</w:t>
      </w:r>
    </w:p>
    <w:p>
      <w:pPr>
        <w:spacing w:after="40" w:before="40" w:line="320"/>
        <w:ind w:firstLine="480"/>
        <w:jc w:val="both"/>
      </w:pPr>
      <w:r>
        <w:rPr>
          <w:rFonts w:ascii="Times New Roman" w:eastAsia="SimSun" w:hAnsi="Times New Roman"/>
          <w:b w:val="false"/>
          <w:bCs w:val="false"/>
          <w:i w:val="false"/>
          <w:iCs w:val="false"/>
          <w:sz w:val="24"/>
          <w:szCs w:val="24"/>
        </w:rPr>
        <w:t xml:space="preserve">第五条 董事会审议其权限内的境外投资事项，审定境外投资年度计划，听取重大项目进展与风险报告，并对境外子公司重大事项行使决策权。</w:t>
      </w:r>
    </w:p>
    <w:p>
      <w:pPr>
        <w:spacing w:after="40" w:before="40" w:line="320"/>
        <w:ind w:firstLine="480"/>
        <w:jc w:val="both"/>
      </w:pPr>
      <w:r>
        <w:rPr>
          <w:rFonts w:ascii="Times New Roman" w:eastAsia="SimSun" w:hAnsi="Times New Roman"/>
          <w:b w:val="false"/>
          <w:bCs w:val="false"/>
          <w:i w:val="false"/>
          <w:iCs w:val="false"/>
          <w:sz w:val="24"/>
          <w:szCs w:val="24"/>
        </w:rPr>
        <w:t xml:space="preserve">第六条 总经理办公会负责其权限内事项的审批、跨部门协调及决策事项的组织实施。</w:t>
      </w:r>
    </w:p>
    <w:p>
      <w:pPr>
        <w:spacing w:after="40" w:before="40" w:line="320"/>
        <w:ind w:firstLine="480"/>
        <w:jc w:val="both"/>
      </w:pPr>
      <w:r>
        <w:rPr>
          <w:rFonts w:ascii="Times New Roman" w:eastAsia="SimSun" w:hAnsi="Times New Roman"/>
          <w:b w:val="false"/>
          <w:bCs w:val="false"/>
          <w:i w:val="false"/>
          <w:iCs w:val="false"/>
          <w:sz w:val="24"/>
          <w:szCs w:val="24"/>
        </w:rPr>
        <w:t xml:space="preserve">第七条 财务部门负责资金来源安排及其真实合规支持性文件准备、外汇登记与资金汇出办理、境外子公司财务监控。</w:t>
      </w:r>
    </w:p>
    <w:p>
      <w:pPr>
        <w:spacing w:after="40" w:before="40" w:line="320"/>
        <w:ind w:firstLine="480"/>
        <w:jc w:val="both"/>
      </w:pPr>
      <w:r>
        <w:rPr>
          <w:rFonts w:ascii="Times New Roman" w:eastAsia="SimSun" w:hAnsi="Times New Roman"/>
          <w:b w:val="false"/>
          <w:bCs w:val="false"/>
          <w:i w:val="false"/>
          <w:iCs w:val="false"/>
          <w:sz w:val="24"/>
          <w:szCs w:val="24"/>
        </w:rPr>
        <w:t xml:space="preserve">第八条 法务合规部门负责交易文件审核、敏感类与限制类排查、核准备案手续合规把关、境外律师意见的组织落实及本制度执行情况监督。</w:t>
      </w:r>
    </w:p>
    <w:p>
      <w:pPr>
        <w:spacing w:after="40" w:before="40" w:line="320"/>
        <w:ind w:firstLine="480"/>
        <w:jc w:val="both"/>
      </w:pPr>
      <w:r>
        <w:rPr>
          <w:rFonts w:ascii="Times New Roman" w:eastAsia="SimSun" w:hAnsi="Times New Roman"/>
          <w:b w:val="false"/>
          <w:bCs w:val="false"/>
          <w:i w:val="false"/>
          <w:iCs w:val="false"/>
          <w:sz w:val="24"/>
          <w:szCs w:val="24"/>
        </w:rPr>
        <w:t xml:space="preserve">第九条 业务部门（项目发起部门）负责项目发起、商业谈判、可行性研究与尽职调查的组织实施及投后日常对接。</w:t>
      </w:r>
    </w:p>
    <w:p>
      <w:pPr>
        <w:keepNext/>
        <w:spacing w:after="120" w:before="240" w:line="340"/>
        <w:jc w:val="left"/>
      </w:pPr>
      <w:r>
        <w:rPr>
          <w:rFonts w:ascii="Times New Roman" w:eastAsia="SimHei" w:hAnsi="Times New Roman"/>
          <w:b/>
          <w:bCs/>
          <w:i w:val="false"/>
          <w:iCs w:val="false"/>
          <w:sz w:val="28"/>
          <w:szCs w:val="28"/>
        </w:rPr>
        <w:t xml:space="preserve">第三章 立项管理</w:t>
      </w:r>
    </w:p>
    <w:p>
      <w:pPr>
        <w:spacing w:after="40" w:before="40" w:line="320"/>
        <w:ind w:firstLine="480"/>
        <w:jc w:val="both"/>
      </w:pPr>
      <w:r>
        <w:rPr>
          <w:rFonts w:ascii="Times New Roman" w:eastAsia="SimSun" w:hAnsi="Times New Roman"/>
          <w:b w:val="false"/>
          <w:bCs w:val="false"/>
          <w:i w:val="false"/>
          <w:iCs w:val="false"/>
          <w:sz w:val="24"/>
          <w:szCs w:val="24"/>
        </w:rPr>
        <w:t xml:space="preserve">第十条 业务部门发起项目应形成书面立项建议与可行性研究报告，载明投资目的与实际运营需求、交易方式（新设、并购或增资）、直接目的地与最终目的地、中方投资额（人民币【●】万元，折合约【●】万美元）、出资方式、资金来源及股权路径。新设类项目的可行性研究报告应详实说明实际运营需求，作为申报真实性审查的基础材料。</w:t>
      </w:r>
    </w:p>
    <w:p>
      <w:pPr>
        <w:spacing w:after="40" w:before="40" w:line="320"/>
        <w:ind w:firstLine="480"/>
        <w:jc w:val="both"/>
      </w:pPr>
      <w:r>
        <w:rPr>
          <w:rFonts w:ascii="Times New Roman" w:eastAsia="SimSun" w:hAnsi="Times New Roman"/>
          <w:b w:val="false"/>
          <w:bCs w:val="false"/>
          <w:i w:val="false"/>
          <w:iCs w:val="false"/>
          <w:sz w:val="24"/>
          <w:szCs w:val="24"/>
        </w:rPr>
        <w:t xml:space="preserve">第十一条 并购类项目应当在申报前完成对【境外目标公司】的尽职调查并形成尽职调查报告（并购类商务备案材料，亦为发改真实性审查关注重点）；尽调范围按本包07《跨境并购尽职调查清单》确定，境外法模块由当地律师执行。</w:t>
      </w:r>
    </w:p>
    <w:p>
      <w:pPr>
        <w:spacing w:after="40" w:before="40" w:line="320"/>
        <w:ind w:firstLine="480"/>
        <w:jc w:val="both"/>
      </w:pPr>
      <w:r>
        <w:rPr>
          <w:rFonts w:ascii="Times New Roman" w:eastAsia="SimSun" w:hAnsi="Times New Roman"/>
          <w:b w:val="false"/>
          <w:bCs w:val="false"/>
          <w:i w:val="false"/>
          <w:iCs w:val="false"/>
          <w:sz w:val="24"/>
          <w:szCs w:val="24"/>
        </w:rPr>
        <w:t xml:space="preserve">第十二条 法务合规部门应在交易结构设计前，对照《境外投资敏感行业目录（2018年版）》（发改外资〔2018〕251号）及国办发〔2017〕74号指导意见完成定性排查：涉敏感行业、敏感国别的适用核准制；属限制类（含在境外设立无具体实业项目的股权投资基金或投资平台）的须审慎评估并按规定办理；属禁止类的不得实施。涉境外基金、多层SPV出境结构的，先与省级发展改革部门沟通定性。</w:t>
      </w:r>
    </w:p>
    <w:p>
      <w:pPr>
        <w:keepNext/>
        <w:spacing w:after="120" w:before="240" w:line="340"/>
        <w:jc w:val="left"/>
      </w:pPr>
      <w:r>
        <w:rPr>
          <w:rFonts w:ascii="Times New Roman" w:eastAsia="SimHei" w:hAnsi="Times New Roman"/>
          <w:b/>
          <w:bCs/>
          <w:i w:val="false"/>
          <w:iCs w:val="false"/>
          <w:sz w:val="28"/>
          <w:szCs w:val="28"/>
        </w:rPr>
        <w:t xml:space="preserve">第四章 决策权限与程序</w:t>
      </w:r>
    </w:p>
    <w:p>
      <w:pPr>
        <w:spacing w:after="40" w:before="40" w:line="320"/>
        <w:ind w:firstLine="480"/>
        <w:jc w:val="both"/>
      </w:pPr>
      <w:r>
        <w:rPr>
          <w:rFonts w:ascii="Times New Roman" w:eastAsia="SimSun" w:hAnsi="Times New Roman"/>
          <w:b w:val="false"/>
          <w:bCs w:val="false"/>
          <w:i w:val="false"/>
          <w:iCs w:val="false"/>
          <w:sz w:val="24"/>
          <w:szCs w:val="24"/>
        </w:rPr>
        <w:t xml:space="preserve">第十三条 公司境外投资实行分级授权决策，权限划分如下表（金额标准由公司结合章程与内控体系填列；与公司章程或其他制度不一致的，从其规定并同步修订本表）：</w:t>
      </w:r>
    </w:p>
    <w:tbl>
      <w:tblPr>
        <w:tblW w:type="dxa" w:w="9000"/>
        <w:tblBorders>
          <w:top w:val="single" w:color="999999" w:sz="4"/>
          <w:left w:val="single" w:color="999999" w:sz="4"/>
          <w:bottom w:val="single" w:color="999999" w:sz="4"/>
          <w:right w:val="single" w:color="999999" w:sz="4"/>
          <w:insideH w:val="single" w:color="999999" w:sz="4"/>
          <w:insideV w:val="single" w:color="999999" w:sz="4"/>
        </w:tblBorders>
      </w:tblPr>
      <w:tblGrid>
        <w:gridCol w:w="2250"/>
        <w:gridCol w:w="2250"/>
        <w:gridCol w:w="2250"/>
        <w:gridCol w:w="2250"/>
      </w:tblGrid>
      <w:tr>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事项</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分级标准</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决策机构</w:t>
            </w:r>
          </w:p>
        </w:tc>
        <w:tc>
          <w:tcPr>
            <w:tcW w:type="dxa" w:w="2250"/>
            <w:shd w:fill="E7E6E6" w:val="clear"/>
            <w:tcMar>
              <w:top w:type="dxa" w:w="60"/>
              <w:left w:type="dxa" w:w="100"/>
              <w:bottom w:type="dxa" w:w="60"/>
              <w:right w:type="dxa" w:w="100"/>
            </w:tcMar>
          </w:tcPr>
          <w:p>
            <w:pPr>
              <w:spacing w:line="280"/>
              <w:jc w:val="left"/>
            </w:pPr>
            <w:r>
              <w:rPr>
                <w:rFonts w:ascii="Times New Roman" w:eastAsia="SimSun" w:hAnsi="Times New Roman"/>
                <w:b/>
                <w:bCs/>
                <w:i w:val="false"/>
                <w:iCs w:val="false"/>
                <w:sz w:val="21"/>
                <w:szCs w:val="21"/>
              </w:rPr>
              <w:t xml:space="preserve">程序要点</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境外投资立项（敏感类或限制类项目）</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不论金额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股东会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先完成定性排查与专项论证，按规定报送核准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境外投资立项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中方投资额人民币【●】万元（含）以上</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股东会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董事会预审后提交</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境外投资立项</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中方投资额人民币【●】万元以下</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总经理办公会预审后提交</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境外投资变更（第十八条所列情形）</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不论金额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作出原立项决策的机构</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情形发生前完成内部决策并对外申请变更</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为境外投资相关主体提供融资、担保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人民币【●】万元（含）以上</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股东会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财务、法务合规会签；同步评估核准备案与外汇登记义务</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为境外投资相关主体提供融资、担保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人民币【●】万元以下</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财务、法务合规会签；内保外贷按第二十二条办理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境外子公司利润分配与境外利润再投资</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不论金额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董事会</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再投资涉商务报告义务，按第二十三条办理</w:t>
            </w:r>
          </w:p>
        </w:tc>
      </w:tr>
      <w:tr>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项目终止、退出或境外层级股权转让</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不论金额</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作出原立项决策的机构</w:t>
            </w:r>
          </w:p>
        </w:tc>
        <w:tc>
          <w:tcPr>
            <w:tcW w:type="dxa" w:w="2250"/>
            <w:tcMar>
              <w:top w:type="dxa" w:w="60"/>
              <w:left w:type="dxa" w:w="100"/>
              <w:bottom w:type="dxa" w:w="60"/>
              <w:right w:type="dxa" w:w="100"/>
            </w:tcMar>
          </w:tcPr>
          <w:p>
            <w:pPr>
              <w:spacing w:line="280"/>
              <w:jc w:val="left"/>
            </w:pPr>
            <w:r>
              <w:rPr>
                <w:rFonts w:ascii="Times New Roman" w:eastAsia="SimSun" w:hAnsi="Times New Roman"/>
                <w:b w:val="false"/>
                <w:bCs w:val="false"/>
                <w:i w:val="false"/>
                <w:iCs w:val="false"/>
                <w:sz w:val="21"/>
                <w:szCs w:val="21"/>
              </w:rPr>
              <w:t xml:space="preserve">同步评估变更手续与外汇登记变更</w:t>
            </w:r>
          </w:p>
        </w:tc>
      </w:tr>
    </w:tbl>
    <w:p>
      <w:pPr>
        <w:spacing w:after="40" w:before="40" w:line="320"/>
        <w:ind w:firstLine="480"/>
        <w:jc w:val="both"/>
      </w:pPr>
      <w:r>
        <w:rPr>
          <w:rFonts w:ascii="Times New Roman" w:eastAsia="SimSun" w:hAnsi="Times New Roman"/>
          <w:b w:val="false"/>
          <w:bCs w:val="false"/>
          <w:i w:val="false"/>
          <w:iCs w:val="false"/>
          <w:sz w:val="24"/>
          <w:szCs w:val="24"/>
        </w:rPr>
        <w:t xml:space="preserve">第十四条 境外投资决策文件（股东会决议、董事会决议）应按备案申报口径载明投资主体、交易方式、直接目的地与最终目的地、中方投资额及出资方式、资金来源、股权路径，并对办理核准、备案、外汇登记及境外手续作出授权；决议表述与备案申报文件逐字同口径。决议及授权委托书的拟制按本包01《境外投资立项决策文件套件（股东会决议·董事会决议·授权委托书）》办理。</w:t>
      </w:r>
    </w:p>
    <w:p>
      <w:pPr>
        <w:keepNext/>
        <w:spacing w:after="120" w:before="240" w:line="340"/>
        <w:jc w:val="left"/>
      </w:pPr>
      <w:r>
        <w:rPr>
          <w:rFonts w:ascii="Times New Roman" w:eastAsia="SimHei" w:hAnsi="Times New Roman"/>
          <w:b/>
          <w:bCs/>
          <w:i w:val="false"/>
          <w:iCs w:val="false"/>
          <w:sz w:val="28"/>
          <w:szCs w:val="28"/>
        </w:rPr>
        <w:t xml:space="preserve">第五章 核准、备案与外汇手续办理</w:t>
      </w:r>
    </w:p>
    <w:p>
      <w:pPr>
        <w:spacing w:after="40" w:before="40" w:line="320"/>
        <w:ind w:firstLine="480"/>
        <w:jc w:val="both"/>
      </w:pPr>
      <w:r>
        <w:rPr>
          <w:rFonts w:ascii="Times New Roman" w:eastAsia="SimSun" w:hAnsi="Times New Roman"/>
          <w:b w:val="false"/>
          <w:bCs w:val="false"/>
          <w:i w:val="false"/>
          <w:iCs w:val="false"/>
          <w:sz w:val="24"/>
          <w:szCs w:val="24"/>
        </w:rPr>
        <w:t xml:space="preserve">第十五条 法务合规部门牵头办理发展改革部门、商务主管部门核准或备案手续，财务部门牵头办理境外直接投资外汇登记。发改线与商务线审查相互独立，可同时启动、分别报送；取得核准文件或备案通知书及《企业境外投资证书》后至银行办理外汇登记，整体周期实操通常为2至3个月。申报材料按本包05《ODI备案材料与流程清单》备齐，官方表单以官方格式文本或在线系统生成版本为准。</w:t>
      </w:r>
    </w:p>
    <w:p>
      <w:pPr>
        <w:spacing w:after="40" w:before="40" w:line="320"/>
        <w:ind w:firstLine="480"/>
        <w:jc w:val="both"/>
      </w:pPr>
      <w:r>
        <w:rPr>
          <w:rFonts w:ascii="Times New Roman" w:eastAsia="SimSun" w:hAnsi="Times New Roman"/>
          <w:b w:val="false"/>
          <w:bCs w:val="false"/>
          <w:i w:val="false"/>
          <w:iCs w:val="false"/>
          <w:sz w:val="24"/>
          <w:szCs w:val="24"/>
        </w:rPr>
        <w:t xml:space="preserve">第十六条 公司各部门及境外子公司应相互配合提供办理境外投资核准、备案、外汇登记及境外设立/并购手续所需的全部文件资料，不得以内部审批、用印流程、人员变动、资料遗失、平台操作困难或其他非法律强制原因拒绝或拖延。</w:t>
      </w:r>
    </w:p>
    <w:p>
      <w:pPr>
        <w:spacing w:after="40" w:before="40" w:line="320"/>
        <w:ind w:firstLine="480"/>
        <w:jc w:val="both"/>
      </w:pPr>
      <w:r>
        <w:rPr>
          <w:rFonts w:ascii="Times New Roman" w:eastAsia="SimSun" w:hAnsi="Times New Roman"/>
          <w:b w:val="false"/>
          <w:bCs w:val="false"/>
          <w:i w:val="false"/>
          <w:iCs w:val="false"/>
          <w:sz w:val="24"/>
          <w:szCs w:val="24"/>
        </w:rPr>
        <w:t xml:space="preserve">第十七条 取得核准文件或备案通知书前，任何部门不得投入资产、权益或提供融资、担保，不得对外支付投资款项。未取得的，外汇、海关等有关部门依法不予办理相关手续，金融企业不予办理相关资金结算和融资业务，并存在被责令中止或停止实施并限期改正、处以警告的法律责任（《企业境外投资管理办法》第32条、第33条、第53条）。</w:t>
      </w:r>
    </w:p>
    <w:p>
      <w:pPr>
        <w:keepNext/>
        <w:spacing w:after="120" w:before="240" w:line="340"/>
        <w:jc w:val="left"/>
      </w:pPr>
      <w:r>
        <w:rPr>
          <w:rFonts w:ascii="Times New Roman" w:eastAsia="SimHei" w:hAnsi="Times New Roman"/>
          <w:b/>
          <w:bCs/>
          <w:i w:val="false"/>
          <w:iCs w:val="false"/>
          <w:sz w:val="28"/>
          <w:szCs w:val="28"/>
        </w:rPr>
        <w:t xml:space="preserve">第六章 变更与延期管理</w:t>
      </w:r>
    </w:p>
    <w:p>
      <w:pPr>
        <w:spacing w:after="40" w:before="40" w:line="320"/>
        <w:ind w:firstLine="480"/>
        <w:jc w:val="both"/>
      </w:pPr>
      <w:r>
        <w:rPr>
          <w:rFonts w:ascii="Times New Roman" w:eastAsia="SimSun" w:hAnsi="Times New Roman"/>
          <w:b w:val="false"/>
          <w:bCs w:val="false"/>
          <w:i w:val="false"/>
          <w:iCs w:val="false"/>
          <w:sz w:val="24"/>
          <w:szCs w:val="24"/>
        </w:rPr>
        <w:t xml:space="preserve">第十八条 已核准、备案的项目发生下列情形之一的，业务部门应立即报告法务合规部门，由公司在有关情形发生前完成内部决策，并向原核准、备案机关申请变更（《企业境外投资管理办法》第34条）：</w:t>
      </w:r>
    </w:p>
    <w:p>
      <w:pPr>
        <w:spacing w:after="40" w:before="40" w:line="320"/>
        <w:ind w:firstLine="480"/>
        <w:jc w:val="both"/>
      </w:pPr>
      <w:r>
        <w:rPr>
          <w:rFonts w:ascii="Times New Roman" w:eastAsia="SimSun" w:hAnsi="Times New Roman"/>
          <w:b w:val="false"/>
          <w:bCs w:val="false"/>
          <w:i w:val="false"/>
          <w:iCs w:val="false"/>
          <w:sz w:val="24"/>
          <w:szCs w:val="24"/>
        </w:rPr>
        <w:t xml:space="preserve">（一）投资主体增加或者减少；</w:t>
      </w:r>
    </w:p>
    <w:p>
      <w:pPr>
        <w:spacing w:after="40" w:before="40" w:line="320"/>
        <w:ind w:firstLine="480"/>
        <w:jc w:val="both"/>
      </w:pPr>
      <w:r>
        <w:rPr>
          <w:rFonts w:ascii="Times New Roman" w:eastAsia="SimSun" w:hAnsi="Times New Roman"/>
          <w:b w:val="false"/>
          <w:bCs w:val="false"/>
          <w:i w:val="false"/>
          <w:iCs w:val="false"/>
          <w:sz w:val="24"/>
          <w:szCs w:val="24"/>
        </w:rPr>
        <w:t xml:space="preserve">（二）投资地点发生重大变化；</w:t>
      </w:r>
    </w:p>
    <w:p>
      <w:pPr>
        <w:spacing w:after="40" w:before="40" w:line="320"/>
        <w:ind w:firstLine="480"/>
        <w:jc w:val="both"/>
      </w:pPr>
      <w:r>
        <w:rPr>
          <w:rFonts w:ascii="Times New Roman" w:eastAsia="SimSun" w:hAnsi="Times New Roman"/>
          <w:b w:val="false"/>
          <w:bCs w:val="false"/>
          <w:i w:val="false"/>
          <w:iCs w:val="false"/>
          <w:sz w:val="24"/>
          <w:szCs w:val="24"/>
        </w:rPr>
        <w:t xml:space="preserve">（三）主要内容和规模发生重大变化；</w:t>
      </w:r>
    </w:p>
    <w:p>
      <w:pPr>
        <w:spacing w:after="40" w:before="40" w:line="320"/>
        <w:ind w:firstLine="480"/>
        <w:jc w:val="both"/>
      </w:pPr>
      <w:r>
        <w:rPr>
          <w:rFonts w:ascii="Times New Roman" w:eastAsia="SimSun" w:hAnsi="Times New Roman"/>
          <w:b w:val="false"/>
          <w:bCs w:val="false"/>
          <w:i w:val="false"/>
          <w:iCs w:val="false"/>
          <w:sz w:val="24"/>
          <w:szCs w:val="24"/>
        </w:rPr>
        <w:t xml:space="preserve">（四）中方投资额变化幅度达到或者超过20%，或者中方投资额变化1亿美元及以上；</w:t>
      </w:r>
    </w:p>
    <w:p>
      <w:pPr>
        <w:spacing w:after="40" w:before="40" w:line="320"/>
        <w:ind w:firstLine="480"/>
        <w:jc w:val="both"/>
      </w:pPr>
      <w:r>
        <w:rPr>
          <w:rFonts w:ascii="Times New Roman" w:eastAsia="SimSun" w:hAnsi="Times New Roman"/>
          <w:b w:val="false"/>
          <w:bCs w:val="false"/>
          <w:i w:val="false"/>
          <w:iCs w:val="false"/>
          <w:sz w:val="24"/>
          <w:szCs w:val="24"/>
        </w:rPr>
        <w:t xml:space="preserve">（五）需要对项目核准文件或者备案通知书有关内容进行重大调整的其他情形。</w:t>
      </w:r>
    </w:p>
    <w:p>
      <w:pPr>
        <w:spacing w:after="40" w:before="40" w:line="320"/>
        <w:ind w:firstLine="480"/>
        <w:jc w:val="both"/>
      </w:pPr>
      <w:r>
        <w:rPr>
          <w:rFonts w:ascii="Times New Roman" w:eastAsia="SimSun" w:hAnsi="Times New Roman"/>
          <w:b w:val="false"/>
          <w:bCs w:val="false"/>
          <w:i w:val="false"/>
          <w:iCs w:val="false"/>
          <w:sz w:val="24"/>
          <w:szCs w:val="24"/>
        </w:rPr>
        <w:t xml:space="preserve">第十九条 项目未能在核准文件或备案通知书2年有效期内实施完毕且拟继续实施的，应当在有效期届满【30】个工作日前向原机关申请延长有效期；《企业境外投资证书》有效期2年，届期未在境外开展投资的，按商务主管部门要求重新办理手续。上述期限均纳入合规日历提前预警。</w:t>
      </w:r>
    </w:p>
    <w:p>
      <w:pPr>
        <w:keepNext/>
        <w:spacing w:after="120" w:before="240" w:line="340"/>
        <w:jc w:val="left"/>
      </w:pPr>
      <w:r>
        <w:rPr>
          <w:rFonts w:ascii="Times New Roman" w:eastAsia="SimHei" w:hAnsi="Times New Roman"/>
          <w:b/>
          <w:bCs/>
          <w:i w:val="false"/>
          <w:iCs w:val="false"/>
          <w:sz w:val="28"/>
          <w:szCs w:val="28"/>
        </w:rPr>
        <w:t xml:space="preserve">第七章 资金汇出与外汇合规</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第二十条 境外投资资金汇出以完成核准、备案及境外直接投资外汇登记为前提。财务部门凭核准文件或备案通知书、《企业境外投资证书》及外汇登记凭证办理汇出，并事先与主办银行确认操作口径。</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第二十一条 累计汇出金额不得超过外汇登记的外汇资金总额；拟超出的先办理变更登记。外汇登记事项发生变化的，按现行外汇管理规定通过银行办理变更登记。</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第二十二条 为境外投资相关主体提供内保外贷的，应在担保合同签约后【15】个工作日内办理签约登记（《跨境担保外汇管理规定》〔汇发〔2014〕29号〕）；以提供融资、担保方式获得境外权益的，同属境外投资，仍须按本制度第五章履行核准、备案手续。</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第二十三条 境外子公司利用自身利润在境外再投资的，不需ODI备案，但应按规定履行商务部门报告义务；资金从境内汇出的再投资必须履行ODI手续；经【境外平台公司】再投资形成新的最终目的地企业的，须为最终目的地企业另行办理手续。</w:t>
      </w:r>
    </w:p>
    <w:p>
      <w:pPr>
        <w:keepNext/>
        <w:spacing w:after="120" w:before="240" w:line="340"/>
        <w:jc w:val="left"/>
      </w:pPr>
      <w:r>
        <w:rPr>
          <w:rFonts w:ascii="Times New Roman" w:eastAsia="SimHei" w:hAnsi="Times New Roman"/>
          <w:b/>
          <w:bCs/>
          <w:i w:val="false"/>
          <w:iCs w:val="false"/>
          <w:sz w:val="28"/>
          <w:szCs w:val="28"/>
        </w:rPr>
        <w:t xml:space="preserve">第八章 境外子公司管控</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第二十四条 境外子公司应按公司统一要求定期报送财务报表与经营情况，纳入合并报表与预算管理；其财务负责人由公司委派，或经公司同意后聘任。</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第二十五条 境外子公司下列重大事项应事先报公司按分级授权审批后实施：对外投资与再投资、对外担保与重大借款、重大资产处置、股权结构变动、章程修改、利润分配、重大诉讼仲裁应对方案。境外子公司章程应对上述管控要求作出映射安排（以不违反设立地强制性规定为限，经当地律师核验）。</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第二十六条 境外子公司印章、证照及银行账户按公司统一制度管理，重要证照原件的保管与使用留痕备查。</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第二十七条 公司向境外子公司委派董事、高级管理人员的，应书面明确其请示报告义务；外派人员签证、工作许可等按设立地要求办理，境外法事项以当地律师意见为准。</w:t>
      </w:r>
    </w:p>
    <w:p>
      <w:pPr>
        <w:keepNext/>
        <w:spacing w:after="120" w:before="240" w:line="340"/>
        <w:jc w:val="left"/>
      </w:pPr>
      <w:r>
        <w:rPr>
          <w:rFonts w:ascii="Times New Roman" w:eastAsia="SimHei" w:hAnsi="Times New Roman"/>
          <w:b/>
          <w:bCs/>
          <w:i w:val="false"/>
          <w:iCs w:val="false"/>
          <w:sz w:val="28"/>
          <w:szCs w:val="28"/>
        </w:rPr>
        <w:t xml:space="preserve">第九章 信息报送与档案</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第二十八条 法务合规部门会同财务部门按本包08《境外投资后续合规义务清单》建立合规台账与合规日历，落实下列报送义务：项目完成之日起【20】个工作日内提交项目完成情况报告表（《企业境外投资管理办法》第44条）；定期报告（实践为半年报）及重大不利情况报告（《对外投资备案（核准）报告暂行办法》〔商合发〔2018〕24号〕）；境外直接投资年度存量权益登记。</w:t>
      </w:r>
    </w:p>
    <w:p>
      <w:pPr>
        <w:spacing w:after="40" w:before="40" w:line="320"/>
        <w:ind w:firstLine="480"/>
        <w:jc w:val="both"/>
      </w:pPr>
      <w:r>
        <w:rPr>
          <w:rFonts w:ascii="Times New Roman" w:eastAsia="SimSun" w:hAnsi="Times New Roman"/>
          <w:b w:val="false"/>
          <w:bCs w:val="false"/>
          <w:i w:val="false"/>
          <w:iCs w:val="false"/>
          <w:sz w:val="24"/>
          <w:szCs w:val="24"/>
        </w:rPr>
        <w:t xml:space="preserve">第二十九条 境外投资全流程文件（决议、申报材料、核准备案文件、证书、外汇登记凭证、交易文件、当地律师意见及报送记录）由【●】部门统一归档，保存期限不短于【●】年。</w:t>
      </w:r>
    </w:p>
    <w:p>
      <w:pPr>
        <w:keepNext/>
        <w:spacing w:after="120" w:before="240" w:line="340"/>
        <w:jc w:val="left"/>
      </w:pPr>
      <w:r>
        <w:rPr>
          <w:rFonts w:ascii="Times New Roman" w:eastAsia="SimHei" w:hAnsi="Times New Roman"/>
          <w:b/>
          <w:bCs/>
          <w:i w:val="false"/>
          <w:iCs w:val="false"/>
          <w:sz w:val="28"/>
          <w:szCs w:val="28"/>
        </w:rPr>
        <w:t xml:space="preserve">第十章 违规追责</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第三十条 有下列情形之一的，公司对责任部门及责任人员按内部制度追责；造成损失的依法追偿；涉嫌违法的移送有权机关处理：</w:t>
      </w:r>
    </w:p>
    <w:p>
      <w:pPr>
        <w:spacing w:after="40" w:before="40" w:line="320"/>
        <w:ind w:firstLine="480"/>
        <w:jc w:val="both"/>
      </w:pPr>
      <w:r>
        <w:rPr>
          <w:rFonts w:ascii="Times New Roman" w:eastAsia="SimSun" w:hAnsi="Times New Roman"/>
          <w:b w:val="false"/>
          <w:bCs w:val="false"/>
          <w:i w:val="false"/>
          <w:iCs w:val="false"/>
          <w:sz w:val="24"/>
          <w:szCs w:val="24"/>
        </w:rPr>
        <w:t xml:space="preserve">（一）未经决策程序或超越分级授权权限实施境外投资；</w:t>
      </w:r>
    </w:p>
    <w:p>
      <w:pPr>
        <w:spacing w:after="40" w:before="40" w:line="320"/>
        <w:ind w:firstLine="480"/>
        <w:jc w:val="both"/>
      </w:pPr>
      <w:r>
        <w:rPr>
          <w:rFonts w:ascii="Times New Roman" w:eastAsia="SimSun" w:hAnsi="Times New Roman"/>
          <w:b w:val="false"/>
          <w:bCs w:val="false"/>
          <w:i w:val="false"/>
          <w:iCs w:val="false"/>
          <w:sz w:val="24"/>
          <w:szCs w:val="24"/>
        </w:rPr>
        <w:t xml:space="preserve">（二）未取得核准文件或备案通知书擅自实施项目；</w:t>
      </w:r>
    </w:p>
    <w:p>
      <w:pPr>
        <w:spacing w:after="40" w:before="40" w:line="320"/>
        <w:ind w:firstLine="480"/>
        <w:jc w:val="both"/>
      </w:pPr>
      <w:r>
        <w:rPr>
          <w:rFonts w:ascii="Times New Roman" w:eastAsia="SimSun" w:hAnsi="Times New Roman"/>
          <w:b w:val="false"/>
          <w:bCs w:val="false"/>
          <w:i w:val="false"/>
          <w:iCs w:val="false"/>
          <w:sz w:val="24"/>
          <w:szCs w:val="24"/>
        </w:rPr>
        <w:t xml:space="preserve">（三）变更情形发生前未申请变更，或未按规定申请延期；</w:t>
      </w:r>
    </w:p>
    <w:p>
      <w:pPr>
        <w:spacing w:after="40" w:before="40" w:line="320"/>
        <w:ind w:firstLine="480"/>
        <w:jc w:val="both"/>
      </w:pPr>
      <w:r>
        <w:rPr>
          <w:rFonts w:ascii="Times New Roman" w:eastAsia="SimSun" w:hAnsi="Times New Roman"/>
          <w:b w:val="false"/>
          <w:bCs w:val="false"/>
          <w:i w:val="false"/>
          <w:iCs w:val="false"/>
          <w:sz w:val="24"/>
          <w:szCs w:val="24"/>
        </w:rPr>
        <w:t xml:space="preserve">（四）未按规定履行报告、登记及报送义务；</w:t>
      </w:r>
    </w:p>
    <w:p>
      <w:pPr>
        <w:spacing w:after="40" w:before="40" w:line="320"/>
        <w:ind w:firstLine="480"/>
        <w:jc w:val="both"/>
      </w:pPr>
      <w:r>
        <w:rPr>
          <w:rFonts w:ascii="Times New Roman" w:eastAsia="SimSun" w:hAnsi="Times New Roman"/>
          <w:b w:val="false"/>
          <w:bCs w:val="false"/>
          <w:i w:val="false"/>
          <w:iCs w:val="false"/>
          <w:sz w:val="24"/>
          <w:szCs w:val="24"/>
        </w:rPr>
        <w:t xml:space="preserve">（五）拒绝或拖延提供手续办理所需文件资料。</w:t>
      </w:r>
    </w:p>
    <w:p>
      <w:pPr>
        <w:keepNext/>
        <w:spacing w:after="120" w:before="240" w:line="340"/>
        <w:jc w:val="left"/>
      </w:pPr>
      <w:r>
        <w:rPr>
          <w:rFonts w:ascii="Times New Roman" w:eastAsia="SimHei" w:hAnsi="Times New Roman"/>
          <w:b/>
          <w:bCs/>
          <w:i w:val="false"/>
          <w:iCs w:val="false"/>
          <w:sz w:val="28"/>
          <w:szCs w:val="28"/>
        </w:rPr>
        <w:t xml:space="preserve">第十一章 附则</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第三十一条 本制度未尽事宜，按法律、行政法规、部门规章及公司章程执行；本制度与法律法规或公司章程不一致的，以法律法规、公司章程为准。</w:t>
      </w:r>
    </w:p>
    <w:p>
      <w:pPr>
        <w:spacing w:after="40" w:before="40" w:line="320"/>
        <w:ind w:firstLine="480"/>
        <w:jc w:val="both"/>
      </w:pPr>
      <w:r>
        <w:rPr>
          <w:rFonts w:ascii="Times New Roman" w:eastAsia="SimSun" w:hAnsi="Times New Roman"/>
          <w:b w:val="false"/>
          <w:bCs w:val="false"/>
          <w:i w:val="false"/>
          <w:iCs w:val="false"/>
          <w:sz w:val="24"/>
          <w:szCs w:val="24"/>
        </w:rPr>
        <w:t xml:space="preserve">第三十二条 本制度由【●】负责解释与修订，经【●】审议通过后发布施行。</w:t>
      </w:r>
    </w:p>
    <w:p>
      <w:pPr>
        <w:spacing w:after="40" w:before="40" w:line="320"/>
        <w:jc w:val="left"/>
      </w:pPr>
      <w:r>
        <w:rPr>
          <w:rFonts w:ascii="Times New Roman" w:eastAsia="SimSun" w:hAnsi="Times New Roman"/>
          <w:b w:val="false"/>
          <w:bCs w:val="false"/>
          <w:i w:val="false"/>
          <w:iCs w:val="false"/>
          <w:sz w:val="24"/>
          <w:szCs w:val="24"/>
        </w:rPr>
        <w:t xml:space="preserve">【境内投资方】（盖章）：</w:t>
      </w:r>
    </w:p>
    <w:p>
      <w:pPr>
        <w:spacing w:after="40" w:before="40" w:line="320"/>
        <w:jc w:val="left"/>
      </w:pPr>
      <w:r>
        <w:rPr>
          <w:rFonts w:ascii="Times New Roman" w:eastAsia="SimSun" w:hAnsi="Times New Roman"/>
          <w:b w:val="false"/>
          <w:bCs w:val="false"/>
          <w:i w:val="false"/>
          <w:iCs w:val="false"/>
          <w:sz w:val="24"/>
          <w:szCs w:val="24"/>
        </w:rPr>
        <w:t xml:space="preserve">施行日期：【●】年【●】月【●】日</w:t>
      </w:r>
    </w:p>
    <w:p>
      <w:pPr>
        <w:spacing w:after="60" w:before="60" w:line="300"/>
        <w:ind w:firstLine="420"/>
        <w:jc w:val="both"/>
      </w:pPr>
      <w:r>
        <w:rPr>
          <w:rFonts w:ascii="Times New Roman" w:eastAsia="SimSun" w:hAnsi="Times New Roman"/>
          <w:b w:val="false"/>
          <w:bCs w:val="false"/>
          <w:i/>
          <w:iCs/>
          <w:color w:val="7F7F7F"/>
          <w:sz w:val="21"/>
          <w:szCs w:val="21"/>
        </w:rPr>
        <w:t xml:space="preserve">【免责声明：本文件为谭棉花律师法律文书库提供的示范文本，免费下载，仅供参考、学习使用，不构成对任何具体事项的法律意见，提供方不因任何主体使用本文件而承担法律责任。法律法规、监管与裁判口径可能发生变化，本文件内容可能存在更新不及时、不准确之处；如需针对具体事项的准确法律意见，请咨询您的律师。】</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09_境外投资管理制度（企业内控模板）</dc:title>
  <dc:creator>谭棉花律师法律文书库</dc:creator>
  <cp:lastModifiedBy>Un-named</cp:lastModifiedBy>
  <cp:revision>1</cp:revision>
  <dcterms:created xsi:type="dcterms:W3CDTF">2026-07-19T07:53:20.758Z</dcterms:created>
  <dcterms:modified xsi:type="dcterms:W3CDTF">2026-07-19T07:53:20.758Z</dcterms:modified>
</cp:coreProperties>
</file>

<file path=docProps/custom.xml><?xml version="1.0" encoding="utf-8"?>
<Properties xmlns="http://schemas.openxmlformats.org/officeDocument/2006/custom-properties" xmlns:vt="http://schemas.openxmlformats.org/officeDocument/2006/docPropsVTypes"/>
</file>