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境外投资后续合规义务清单</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清单供【境内投资方】取得核准文件或备案通知书、《企业境外投资证书》并办理外汇登记后，对项目存续期内的持续合规义务建立台账使用；与本包09《境外投资管理制度（企业内控模板）》的责任条款逐项对应（改动一处须同步另一处），"责任部门"栏由使用单位按内部分工填写。带方括号数字为法定或实操默认值；本清单不替代对最新法规及项目所在地主管部门现行口径的核验。】</w:t>
      </w:r>
    </w:p>
    <w:p>
      <w:pPr>
        <w:keepNext/>
        <w:spacing w:after="120" w:before="240" w:line="340"/>
        <w:jc w:val="left"/>
      </w:pPr>
      <w:r>
        <w:rPr>
          <w:rFonts w:ascii="Times New Roman" w:eastAsia="SimHei" w:hAnsi="Times New Roman"/>
          <w:b/>
          <w:bCs/>
          <w:i w:val="false"/>
          <w:iCs w:val="false"/>
          <w:sz w:val="28"/>
          <w:szCs w:val="28"/>
        </w:rPr>
        <w:t xml:space="preserve">一、持续合规义务台账</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1800"/>
        <w:gridCol w:w="1800"/>
        <w:gridCol w:w="1800"/>
        <w:gridCol w:w="1800"/>
        <w:gridCol w:w="1800"/>
      </w:tblGrid>
      <w:tr>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义务</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触发情形</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时限</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依据</w:t>
            </w:r>
          </w:p>
        </w:tc>
        <w:tc>
          <w:tcPr>
            <w:tcW w:type="dxa" w:w="18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责任部门</w:t>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变更核准或变更备案（发改线）</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已核准、备案的项目发生下列情形之一：投资主体增加或减少；投资地点发生重大变化；主要内容和规模发生重大变化；中方投资额变化幅度达到或超过20%，或中方投资额变化1亿美元及以上；需要对项目核准文件或备案通知书有关内容进行重大调整的其他情形</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应当在有关情形发生前向原核准、备案机关提出变更申请</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《企业境外投资管理办法》（国家发展和改革委员会令第11号）第34条</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核准文件、备案通知书延期（发改线）</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项目未能在核准文件或备案通知书2年有效期内实施完毕且拟继续实施</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应当在有效期届满【30】个工作日前向原机关申请延长有效期</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《企业境外投资管理办法》第35条</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《企业境外投资证书》有效期管理（商务线）</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领取证书后2年内未在境外开展投资</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证书有效期2年；届期未实施的，按商务主管部门要求重新办理备案或核准手续</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《境外投资管理办法》（商务部令2014年第3号）</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证书载明事项变更（商务线）</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证书载明的投资主体、境外企业名称、投资金额、股权路径等事项发生变更</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按省级商务主管部门要求办理变更手续（属地方实操口径，以项目所在地主管部门意见为准）</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《境外投资管理办法》（商务部令2014年第3号）</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项目完成情况报告（发改线）</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属于核准、备案管理范围的项目实施完毕</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项目完成之日起【20】个工作日内通过网络系统提交项目完成情况报告表（以在线系统生成版本为准）</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《企业境外投资管理办法》第44条</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定期报告</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境外投资存续期间</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通过业务系统定期报送境外投资经营情况（实践为半年报，频次与时点以主管部门及系统提示为准）</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《对外投资备案（核准）报告暂行办法》（商合发〔2018〕24号）</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重大不利情况报告</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境外投资发生安全事件、重大资产损失、重大涉诉涉裁等重大不利情况</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发生后【●】个工作日内按主管部门及业务系统要求报告（以现行要求为准）</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《对外投资备案（核准）报告暂行办法》（商合发〔2018〕24号）</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外汇资金汇出限额管理</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向境外汇出投资资金</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持续义务：累计汇出金额不得超过外汇登记的外汇资金总额；拟超出的先办理变更登记</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《境内机构境外直接投资外汇管理规定》（汇发〔2009〕30号发布）</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境外直接投资外汇登记变更</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境内投资主体、境外企业基本信息或出资额、股权路径等登记事项发生变化</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通过银行办理变更登记后再办理相应资金业务</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《境内机构境外直接投资外汇管理规定》（汇发〔2009〕30号发布）、《资本项目外汇业务指引（2024年版）》（汇发〔2024〕12号）</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境外直接投资年度存量权益登记</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上年度存续的境外直接投资</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每年按国家外汇管理局规定的时间与方式办理（当年截止时点以官方通知为准）</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《资本项目外汇业务指引（2024年版）》（汇发〔2024〕12号）</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境外利润再投资的商务报告</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境外企业以自身利润在境外再投资（境内无新增资金汇出）</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按商务主管部门规定履行报告义务；免于ODI备案以境内无资金汇出为前提，形成新的最终目的地企业的另见第四部分</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《境外投资管理办法》（商务部令2014年第3号）、《对外投资备案（核准）报告暂行办法》（商合发〔2018〕24号）</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
            </w:r>
          </w:p>
        </w:tc>
      </w:tr>
      <w:tr>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内保外贷外汇签约登记</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境内机构为境外投资相关主体提供内保外贷</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担保合同签约后【15】个工作日内办理签约登记，登记事项变更的按规定办理变更登记；以融资、担保方式获得境外权益同属境外投资，仍须履行发改、商务核准或备案手续</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《跨境担保外汇管理规定》（汇发〔2014〕29号）、《企业境外投资管理办法》第2条</w:t>
            </w:r>
          </w:p>
        </w:tc>
        <w:tc>
          <w:tcPr>
            <w:tcW w:type="dxa" w:w="18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
            </w:r>
          </w:p>
        </w:tc>
      </w:tr>
    </w:tbl>
    <w:p>
      <w:pPr>
        <w:spacing w:after="60" w:before="60" w:line="300"/>
        <w:ind w:firstLine="420"/>
        <w:jc w:val="both"/>
      </w:pPr>
      <w:r>
        <w:rPr>
          <w:rFonts w:ascii="Times New Roman" w:eastAsia="SimSun" w:hAnsi="Times New Roman"/>
          <w:b w:val="false"/>
          <w:bCs w:val="false"/>
          <w:i/>
          <w:iCs/>
          <w:color w:val="7F7F7F"/>
          <w:sz w:val="21"/>
          <w:szCs w:val="21"/>
        </w:rPr>
        <w:t xml:space="preserve">【拟稿注：建议将本台账转为合规日历——证书及备案通知书届满日、定期报告时点、变更触发监测（尤其中方投资额变化20%或1亿美元触发线）均设提前预警，责任落实到具体岗位，避免台账建而不用；报送渠道以主管部门在线系统提示为准。】</w:t>
      </w:r>
    </w:p>
    <w:p>
      <w:pPr>
        <w:keepNext/>
        <w:spacing w:after="120" w:before="240" w:line="340"/>
        <w:jc w:val="left"/>
      </w:pPr>
      <w:r>
        <w:rPr>
          <w:rFonts w:ascii="Times New Roman" w:eastAsia="SimHei" w:hAnsi="Times New Roman"/>
          <w:b/>
          <w:bCs/>
          <w:i w:val="false"/>
          <w:iCs w:val="false"/>
          <w:sz w:val="28"/>
          <w:szCs w:val="28"/>
        </w:rPr>
        <w:t xml:space="preserve">二、未按规定办理手续的后果</w:t>
      </w:r>
    </w:p>
    <w:p>
      <w:pPr>
        <w:spacing w:after="40" w:before="40" w:line="320"/>
        <w:ind w:firstLine="480"/>
        <w:jc w:val="both"/>
      </w:pPr>
      <w:r>
        <w:rPr>
          <w:rFonts w:ascii="Times New Roman" w:eastAsia="SimSun" w:hAnsi="Times New Roman"/>
          <w:b w:val="false"/>
          <w:bCs w:val="false"/>
          <w:i w:val="false"/>
          <w:iCs w:val="false"/>
          <w:sz w:val="24"/>
          <w:szCs w:val="24"/>
        </w:rPr>
        <w:t xml:space="preserve">属于核准、备案管理范围的项目，投资主体应当在项目实施前取得核准文件或备案通知书；未取得的，外汇、海关等有关部门依法不予办理相关手续，金融企业不予办理相关资金结算和融资业务（《企业境外投资管理办法》第32条、第33条）。</w:t>
      </w:r>
    </w:p>
    <w:p>
      <w:pPr>
        <w:spacing w:after="40" w:before="40" w:line="320"/>
        <w:ind w:firstLine="480"/>
        <w:jc w:val="both"/>
      </w:pPr>
      <w:r>
        <w:rPr>
          <w:rFonts w:ascii="Times New Roman" w:eastAsia="SimSun" w:hAnsi="Times New Roman"/>
          <w:b w:val="false"/>
          <w:bCs w:val="false"/>
          <w:i w:val="false"/>
          <w:iCs w:val="false"/>
          <w:sz w:val="24"/>
          <w:szCs w:val="24"/>
        </w:rPr>
        <w:t xml:space="preserve">未按规定取得核准文件或备案通知书而擅自实施项目的，由核准、备案机关责令中止或停止实施并限期改正，对投资主体及有关责任人处以警告；构成犯罪的，依法追究刑事责任（《企业境外投资管理办法》第53条）。变更、延期及各项报送义务未按规定办理的，同样存在被责令改正并影响后续申报与外汇业务办理的风险。</w:t>
      </w:r>
    </w:p>
    <w:p>
      <w:pPr>
        <w:keepNext/>
        <w:spacing w:after="120" w:before="240" w:line="340"/>
        <w:jc w:val="left"/>
      </w:pPr>
      <w:r>
        <w:rPr>
          <w:rFonts w:ascii="Times New Roman" w:eastAsia="SimHei" w:hAnsi="Times New Roman"/>
          <w:b/>
          <w:bCs/>
          <w:i w:val="false"/>
          <w:iCs w:val="false"/>
          <w:sz w:val="28"/>
          <w:szCs w:val="28"/>
        </w:rPr>
        <w:t xml:space="preserve">三、历史瑕疵的处理</w:t>
      </w:r>
    </w:p>
    <w:p>
      <w:pPr>
        <w:spacing w:after="40" w:before="40" w:line="320"/>
        <w:ind w:firstLine="480"/>
        <w:jc w:val="both"/>
      </w:pPr>
      <w:r>
        <w:rPr>
          <w:rFonts w:ascii="Times New Roman" w:eastAsia="SimSun" w:hAnsi="Times New Roman"/>
          <w:b w:val="false"/>
          <w:bCs w:val="false"/>
          <w:i w:val="false"/>
          <w:iCs w:val="false"/>
          <w:sz w:val="24"/>
          <w:szCs w:val="24"/>
        </w:rPr>
        <w:t xml:space="preserve">此前已实施的增资、投资未办理发改核准、备案等手续的，属于程序瑕疵，存在被责令中止或停止实施并限期改正、处以警告的风险；办理新项目手续时，主管部门可能关注历史瑕疵。建议先与主管部门沟通补救方案，再启动新的申报。</w:t>
      </w:r>
    </w:p>
    <w:p>
      <w:pPr>
        <w:spacing w:after="40" w:before="40" w:line="320"/>
        <w:ind w:firstLine="480"/>
        <w:jc w:val="both"/>
      </w:pPr>
      <w:r>
        <w:rPr>
          <w:rFonts w:ascii="Times New Roman" w:eastAsia="SimSun" w:hAnsi="Times New Roman"/>
          <w:b w:val="false"/>
          <w:bCs w:val="false"/>
          <w:i w:val="false"/>
          <w:iCs w:val="false"/>
          <w:sz w:val="24"/>
          <w:szCs w:val="24"/>
        </w:rPr>
        <w:t xml:space="preserve">应当注意：行政处罚存在时效规则，但时效经过不等于瑕疵消灭；新申报材料中追溯至最终实际控制人的股权架构图仍会暴露历史层级，隐瞒或绕行申报只会放大风险。排查要点另见本包10《律师复核提示》。</w:t>
      </w:r>
    </w:p>
    <w:p>
      <w:pPr>
        <w:keepNext/>
        <w:spacing w:after="120" w:before="240" w:line="340"/>
        <w:jc w:val="left"/>
      </w:pPr>
      <w:r>
        <w:rPr>
          <w:rFonts w:ascii="Times New Roman" w:eastAsia="SimHei" w:hAnsi="Times New Roman"/>
          <w:b/>
          <w:bCs/>
          <w:i w:val="false"/>
          <w:iCs w:val="false"/>
          <w:sz w:val="28"/>
          <w:szCs w:val="28"/>
        </w:rPr>
        <w:t xml:space="preserve">四、境外平台公司与最终目的地规则</w:t>
      </w:r>
    </w:p>
    <w:p>
      <w:pPr>
        <w:spacing w:after="40" w:before="40" w:line="320"/>
        <w:ind w:firstLine="480"/>
        <w:jc w:val="both"/>
      </w:pPr>
      <w:r>
        <w:rPr>
          <w:rFonts w:ascii="Times New Roman" w:eastAsia="SimSun" w:hAnsi="Times New Roman"/>
          <w:b w:val="false"/>
          <w:bCs w:val="false"/>
          <w:i w:val="false"/>
          <w:iCs w:val="false"/>
          <w:sz w:val="24"/>
          <w:szCs w:val="24"/>
        </w:rPr>
        <w:t xml:space="preserve">《企业境外投资证书》按境外投资最终目的地颁发（《境外投资管理办法》〔商务部令2014年第3号〕第8条及商务部门实操口径）。经【境外平台公司】增资再投资形成新的最终目的地企业的，须为最终目的地企业另行办理手续；【境外平台公司】自身证书按主管部门要求处理。</w:t>
      </w:r>
    </w:p>
    <w:p>
      <w:pPr>
        <w:spacing w:after="40" w:before="40" w:line="320"/>
        <w:ind w:firstLine="480"/>
        <w:jc w:val="both"/>
      </w:pPr>
      <w:r>
        <w:rPr>
          <w:rFonts w:ascii="Times New Roman" w:eastAsia="SimSun" w:hAnsi="Times New Roman"/>
          <w:b w:val="false"/>
          <w:bCs w:val="false"/>
          <w:i w:val="false"/>
          <w:iCs w:val="false"/>
          <w:sz w:val="24"/>
          <w:szCs w:val="24"/>
        </w:rPr>
        <w:t xml:space="preserve">资金从境内汇出的再投资必须履行ODI核准、备案及外汇手续；利用境外企业自身利润再投资的不需ODI备案，但须按规定履行商务部门报告义务（见本台账对应项）。境外层级发生股权转让、重组或新设的，应同步评估是否触发《企业境外投资管理办法》第34条变更情形及外汇登记变更，先变更后实施。</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08_境外投资后续合规义务清单</dc:title>
  <dc:creator>谭棉花律师法律文书库</dc:creator>
  <cp:lastModifiedBy>Un-named</cp:lastModifiedBy>
  <cp:revision>1</cp:revision>
  <dcterms:created xsi:type="dcterms:W3CDTF">2026-07-19T07:53:20.752Z</dcterms:created>
  <dcterms:modified xsi:type="dcterms:W3CDTF">2026-07-19T07:53:20.752Z</dcterms:modified>
</cp:coreProperties>
</file>

<file path=docProps/custom.xml><?xml version="1.0" encoding="utf-8"?>
<Properties xmlns="http://schemas.openxmlformats.org/officeDocument/2006/custom-properties" xmlns:vt="http://schemas.openxmlformats.org/officeDocument/2006/docPropsVTypes"/>
</file>