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跨境并购尽职调查清单</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清单供【境内投资方】并购【境外目标公司】前统筹尽职调查范围使用。尽职调查报告是并购类商务备案的硬性材料（并购类须另行提交尽职调查报告及《境外并购事项前期报告表》，依据《境外投资管理办法》（商务部令2014年第3号）及商务部门备案实操要求），且发展改革部门真实性审查重点关注境内主体与境外企业的业务关联性与商业逻辑，故尽职调查应在备案申报前完成，并使报告结论覆盖上述审查重点；涉境外法律的核查项目一律由【境外目标公司】所在地律师执行并出具书面意见，本清单仅用于统筹范围与汇总结论，不构成对任何境外法律的判断。与本包04《境外投资意向书（LOI）》尽职调查安排条款及本包05《ODI备案材料与流程清单》商务线材料清单衔接。】</w:t>
      </w:r>
    </w:p>
    <w:p>
      <w:pPr>
        <w:keepNext/>
        <w:spacing w:after="120" w:before="240" w:line="340"/>
        <w:jc w:val="left"/>
      </w:pPr>
      <w:r>
        <w:rPr>
          <w:rFonts w:ascii="Times New Roman" w:eastAsia="SimHei" w:hAnsi="Times New Roman"/>
          <w:b/>
          <w:bCs/>
          <w:i w:val="false"/>
          <w:iCs w:val="false"/>
          <w:sz w:val="28"/>
          <w:szCs w:val="28"/>
        </w:rPr>
        <w:t xml:space="preserve">第一部分 使用说明</w:t>
      </w:r>
    </w:p>
    <w:p>
      <w:pPr>
        <w:spacing w:after="40" w:before="40" w:line="320"/>
        <w:ind w:firstLine="480"/>
        <w:jc w:val="both"/>
      </w:pPr>
      <w:r>
        <w:rPr>
          <w:rFonts w:ascii="Times New Roman" w:eastAsia="SimSun" w:hAnsi="Times New Roman"/>
          <w:b w:val="false"/>
          <w:bCs w:val="false"/>
          <w:i w:val="false"/>
          <w:iCs w:val="false"/>
          <w:sz w:val="24"/>
          <w:szCs w:val="24"/>
        </w:rPr>
        <w:t xml:space="preserve">一、模块取舍：十一个模块为通用范围，应按交易规模、行业与结构增删；"风险信号"列为提示性列举，非穷尽清单。</w:t>
      </w:r>
    </w:p>
    <w:p>
      <w:pPr>
        <w:spacing w:after="40" w:before="40" w:line="320"/>
        <w:ind w:firstLine="480"/>
        <w:jc w:val="both"/>
      </w:pPr>
      <w:r>
        <w:rPr>
          <w:rFonts w:ascii="Times New Roman" w:eastAsia="SimSun" w:hAnsi="Times New Roman"/>
          <w:b w:val="false"/>
          <w:bCs w:val="false"/>
          <w:i w:val="false"/>
          <w:iCs w:val="false"/>
          <w:sz w:val="24"/>
          <w:szCs w:val="24"/>
        </w:rPr>
        <w:t xml:space="preserve">二、执行分工：境外法律事项（权属、许可、劳动、数据等）由当地律师执行；财务税务事项可另行委托会计师/税务顾问；境内团队负责统筹范围、进度与结论汇总。</w:t>
      </w:r>
    </w:p>
    <w:p>
      <w:pPr>
        <w:spacing w:after="40" w:before="40" w:line="320"/>
        <w:ind w:firstLine="480"/>
        <w:jc w:val="both"/>
      </w:pPr>
      <w:r>
        <w:rPr>
          <w:rFonts w:ascii="Times New Roman" w:eastAsia="SimSun" w:hAnsi="Times New Roman"/>
          <w:b w:val="false"/>
          <w:bCs w:val="false"/>
          <w:i w:val="false"/>
          <w:iCs w:val="false"/>
          <w:sz w:val="24"/>
          <w:szCs w:val="24"/>
        </w:rPr>
        <w:t xml:space="preserve">三、结论运用：尽职调查发现的重大风险应转化为正式交易文件中的陈述与保证、交割前提条件或价款调整机制，并按需在备案申报文件中作相应说明。</w:t>
      </w:r>
    </w:p>
    <w:p>
      <w:pPr>
        <w:keepNext/>
        <w:spacing w:after="120" w:before="240" w:line="340"/>
        <w:jc w:val="left"/>
      </w:pPr>
      <w:r>
        <w:rPr>
          <w:rFonts w:ascii="Times New Roman" w:eastAsia="SimHei" w:hAnsi="Times New Roman"/>
          <w:b/>
          <w:bCs/>
          <w:i w:val="false"/>
          <w:iCs w:val="false"/>
          <w:sz w:val="28"/>
          <w:szCs w:val="28"/>
        </w:rPr>
        <w:t xml:space="preserve">第二部分 十一模块核查清单</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模块</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核查事项</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所需文件</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风险信号</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一、公司与股权</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设立文件与存续状态；股权结构与权属；历史沿革与出资情况；股东间协议与优先权安排；章程中转让限制与同意权条款</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注册证书、公司章程、股东名册、存续证明（如设立地有此制度）、历次股权变动文件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股权存在代持或权属争议；转让须第三方同意或触发优先购买权；层级复杂难以追溯实际控制人，影响境内备案股权架构图编制</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二、财务与税务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近【3】年经审计财务报表与重大会计政策；关联交易；或有负债；纳税申报与欠税情况；税收优惠合规性与存续条件；转让定价安排</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审计报告、纳税申报记录、税务主管机构函件、关联交易清单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大额或有负债未入账；税收优惠附条件且交割后可能失效；存在欠税与滞纳金</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三、重大合同</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主要客户与供应商合同；贷款、担保及其他融资文件；控制权变更条款；排他与竞业限制条款</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重大合同文本及履行凭证、融资协议、担保文件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控制权变更触发对方解除权或贷款提前到期；对单一客户或供应商重大依赖</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四、合规与制裁（出口管制/制裁名单/反腐败）</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目标公司及其董事、主要股东、主要交易相对方是否列入相关制裁名单；业务是否涉及出口管制物项或受限司法辖区；反腐败合规体系与历史调查情况</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合规政策文件、名单筛查记录、内部或外部调查报告</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与受制裁主体存在交易往来；涉出口管制物项而无相应许可；贿赂或制裁相关调查未了结</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五、知识产权</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核心知识产权权属与登记状态；对外及对内许可安排；核心技术对第三方的依赖；侵权纠纷</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知识产权登记证书、许可协议、纠纷相关文件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核心知识产权登记在股东或关联方名下；对外许可含排他安排；核心技术依赖第三方且许可可被终止</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六、劳动雇佣</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核心人员任职与关键岗位协议；集体协议与工会安排；解雇成本与法定补偿；社保及福利计划资金状况</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劳动合同样本、员工手册、集体协议、福利计划文件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交割触发留任奖金或离职补偿；福利计划存在资金缺口</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七、环保与许可</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经营所需许可证照的有效性与可转移性；环保处罚与整改记录；历史污染与场地责任</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许可证照清单、环境评估文件、处罚及整改记录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关键许可不随控制权变更自动延续；存在历史污染治理责任</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八、诉讼仲裁</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未决及可预见的诉讼、仲裁；行政调查与处罚；生效裁判执行情况</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案件清单、主要法律文书、往来律师函</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标的重大的未决案件；同类纠纷批量出现显示系统性缺陷</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九、不动产与资产</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自有不动产权属与他项权利；租赁物业期限、续租条件与控制权变更条款；主要设备权属与抵押质押情况</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权属证书、租赁合同、抵押/质押登记材料</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权属瑕疵或未完成登记；核心经营场所租期临近届满且无续租安排</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十、保险</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保单覆盖范围与保额充分性；控制权变更对保单效力的影响；历史理赔记录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保单清单及文本、理赔记录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关键经营风险未投保；控制权变更导致保单失效</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十一、数据与网络安全</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个人数据处理合规情况；跨境数据传输安排；历史网络安全事件与处置；数据资产权属与共享安排</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数据合规政策、数据处理与传输协议、安全事件报告</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发生过数据泄露且处置未完结；跨境传输安排的合规性待当地律师核验</w:t>
            </w:r>
          </w:p>
        </w:tc>
      </w:tr>
    </w:tbl>
    <w:p>
      <w:pPr>
        <w:keepNext/>
        <w:spacing w:after="120" w:before="240" w:line="340"/>
        <w:jc w:val="left"/>
      </w:pPr>
      <w:r>
        <w:rPr>
          <w:rFonts w:ascii="Times New Roman" w:eastAsia="SimHei" w:hAnsi="Times New Roman"/>
          <w:b/>
          <w:bCs/>
          <w:i w:val="false"/>
          <w:iCs w:val="false"/>
          <w:sz w:val="28"/>
          <w:szCs w:val="28"/>
        </w:rPr>
        <w:t xml:space="preserve">第三部分 尽职调查报告与备案衔接要点</w:t>
      </w:r>
    </w:p>
    <w:p>
      <w:pPr>
        <w:spacing w:after="40" w:before="40" w:line="320"/>
        <w:ind w:firstLine="480"/>
        <w:jc w:val="both"/>
      </w:pPr>
      <w:r>
        <w:rPr>
          <w:rFonts w:ascii="Times New Roman" w:eastAsia="SimSun" w:hAnsi="Times New Roman"/>
          <w:b w:val="false"/>
          <w:bCs w:val="false"/>
          <w:i w:val="false"/>
          <w:iCs w:val="false"/>
          <w:sz w:val="24"/>
          <w:szCs w:val="24"/>
        </w:rPr>
        <w:t xml:space="preserve">一、并购类商务备案应提交尽职调查报告并填报《境外并购事项前期报告表》（以官方格式文本为准），材料组卷见本包05《ODI备案材料与流程清单》。</w:t>
      </w:r>
    </w:p>
    <w:p>
      <w:pPr>
        <w:spacing w:after="40" w:before="40" w:line="320"/>
        <w:ind w:firstLine="480"/>
        <w:jc w:val="both"/>
      </w:pPr>
      <w:r>
        <w:rPr>
          <w:rFonts w:ascii="Times New Roman" w:eastAsia="SimSun" w:hAnsi="Times New Roman"/>
          <w:b w:val="false"/>
          <w:bCs w:val="false"/>
          <w:i w:val="false"/>
          <w:iCs w:val="false"/>
          <w:sz w:val="24"/>
          <w:szCs w:val="24"/>
        </w:rPr>
        <w:t xml:space="preserve">二、报告应专节说明境内投资方与境外目标公司的业务关联性与商业逻辑，以对接发展改革部门真实性审查重点。</w:t>
      </w:r>
    </w:p>
    <w:p>
      <w:pPr>
        <w:spacing w:after="40" w:before="40" w:line="320"/>
        <w:ind w:firstLine="480"/>
        <w:jc w:val="both"/>
      </w:pPr>
      <w:r>
        <w:rPr>
          <w:rFonts w:ascii="Times New Roman" w:eastAsia="SimSun" w:hAnsi="Times New Roman"/>
          <w:b w:val="false"/>
          <w:bCs w:val="false"/>
          <w:i w:val="false"/>
          <w:iCs w:val="false"/>
          <w:sz w:val="24"/>
          <w:szCs w:val="24"/>
        </w:rPr>
        <w:t xml:space="preserve">三、境外法律部分应注明出具意见的当地律师/机构、出具日期与依赖限制，报告汇总人不得改写当地律师结论。</w:t>
      </w:r>
    </w:p>
    <w:p>
      <w:pPr>
        <w:spacing w:after="40" w:before="40" w:line="320"/>
        <w:ind w:firstLine="480"/>
        <w:jc w:val="both"/>
      </w:pPr>
      <w:r>
        <w:rPr>
          <w:rFonts w:ascii="Times New Roman" w:eastAsia="SimSun" w:hAnsi="Times New Roman"/>
          <w:b w:val="false"/>
          <w:bCs w:val="false"/>
          <w:i w:val="false"/>
          <w:iCs w:val="false"/>
          <w:sz w:val="24"/>
          <w:szCs w:val="24"/>
        </w:rPr>
        <w:t xml:space="preserve">四、交易节奏按"签署意向书→启动尽职调查→尽职调查完成→备案申报→取得核准/备案→签署正式协议→交割"衔接，时间表条款见本包04《境外投资意向书（LOI）》。</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【拟稿注：本清单为范围统筹工具，不构成对尽职调查完成时限的承诺；核查深度与抽样范围应与交易金额、行业风险相匹配，并在委托当地律师的工作范围书中逐项列明。】</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07_跨境并购尽职调查清单</dc:title>
  <dc:creator>谭棉花律师法律文书库</dc:creator>
  <cp:lastModifiedBy>Un-named</cp:lastModifiedBy>
  <cp:revision>1</cp:revision>
  <dcterms:created xsi:type="dcterms:W3CDTF">2026-07-19T07:53:20.746Z</dcterms:created>
  <dcterms:modified xsi:type="dcterms:W3CDTF">2026-07-19T07:53:20.746Z</dcterms:modified>
</cp:coreProperties>
</file>

<file path=docProps/custom.xml><?xml version="1.0" encoding="utf-8"?>
<Properties xmlns="http://schemas.openxmlformats.org/officeDocument/2006/custom-properties" xmlns:vt="http://schemas.openxmlformats.org/officeDocument/2006/docPropsVTypes"/>
</file>