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ODI备案材料与流程清单</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清单为境内企业境外直接投资（ODI）备案与外汇登记的材料组卷与流程统筹工具，与本包01《境外投资立项决策文件套件（股东会决议·董事会决议·授权委托书）》、本包02《境外投资项目备案申请报告（致省级发展改革部门）》配套（二者均为申报材料组成部分），获备案后的持续义务见本包08《境外投资后续合规义务清单》。本清单以非敏感类备案为基准：中方投资额3亿美元及以上向国家发展改革委备案，3亿美元以下的地方企业向省级发展改革部门备案（《企业境外投资管理办法》（国家发展和改革委员会令第11号））；涉《境外投资敏感行业目录（2018年版）》（发改外资〔2018〕251号）或敏感国别的适用核准制，不在本清单基准场景内。口径纪律：本包01决议、02请示、04意向书与三线申报文件的投资主体、中方投资额、出资方式、股权路径必须同一套口径；官方表单一律以官方格式文本或在线系统生成版本为准，本清单不替代官方表样。】</w:t>
      </w:r>
    </w:p>
    <w:p>
      <w:pPr>
        <w:keepNext/>
        <w:spacing w:after="120" w:before="240" w:line="340"/>
        <w:jc w:val="left"/>
      </w:pPr>
      <w:r>
        <w:rPr>
          <w:rFonts w:ascii="Times New Roman" w:eastAsia="SimHei" w:hAnsi="Times New Roman"/>
          <w:b/>
          <w:bCs/>
          <w:i w:val="false"/>
          <w:iCs w:val="false"/>
          <w:sz w:val="28"/>
          <w:szCs w:val="28"/>
        </w:rPr>
        <w:t xml:space="preserve">第一部分 三线流程时间轴</w:t>
      </w:r>
    </w:p>
    <w:p>
      <w:pPr>
        <w:spacing w:after="40" w:before="40" w:line="320"/>
        <w:ind w:firstLine="480"/>
        <w:jc w:val="both"/>
      </w:pPr>
      <w:r>
        <w:rPr>
          <w:rFonts w:ascii="Times New Roman" w:eastAsia="SimSun" w:hAnsi="Times New Roman"/>
          <w:b w:val="false"/>
          <w:bCs w:val="false"/>
          <w:i w:val="false"/>
          <w:iCs w:val="false"/>
          <w:sz w:val="24"/>
          <w:szCs w:val="24"/>
        </w:rPr>
        <w:t xml:space="preserve">发展改革部门与商务主管部门的审查相互独立，可同时启动、分别报送；取得发改核准文件/备案通知书与商务《企业境外投资证书》后，至银行办理外汇登记。</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线别</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环节</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时限（法定/实操）</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产出文件</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发改线</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在线系统填报项目备案表并提交申报材料（详见第二部分）</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材料准备实操通常【●】周，视齐备程度而定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系统受理回执</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发改线</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备案机关审核</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受理后【7】个工作日内（法定）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《境外投资项目备案通知书》</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商务线</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《境外投资备案表》系统填报并报省级商务主管部门（详见第三部分）</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材料齐备后【3】个工作日（法定）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《企业境外投资证书》（有效期2年）</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外汇线</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凭发改、商务两线文件至银行办理境外直接投资外汇登记（详见第四部分）</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实操通常【●】个工作日，以银行审核为准</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业务登记凭证</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外汇线</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按出资进度办理资金汇出（累计汇出不得超过登记的外汇资金总额）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按项目出资安排</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银行汇出凭证</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整体</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自启动申报至完成外汇登记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实操通常2-3个月，视项目情况与审查进度而定，非办理时限承诺</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120" w:before="240" w:line="340"/>
        <w:jc w:val="left"/>
      </w:pPr>
      <w:r>
        <w:rPr>
          <w:rFonts w:ascii="Times New Roman" w:eastAsia="SimHei" w:hAnsi="Times New Roman"/>
          <w:b/>
          <w:bCs/>
          <w:i w:val="false"/>
          <w:iCs w:val="false"/>
          <w:sz w:val="28"/>
          <w:szCs w:val="28"/>
        </w:rPr>
        <w:t xml:space="preserve">第二部分 发改线备案材料清单</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据《企业境外投资管理办法》（国家发展和改革委员会令第11号）及国家发展改革委关于发布企业境外投资管理办法配套格式文本（2018年版）的通知（发改外资〔2018〕252号）；具体以备案机关要求及在线系统提示为准。】</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材料</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来源与形式要求</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备注</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境外投资真实性承诺书</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官方格式文本，法定代表人（或授权代表）签字并加盖公章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以官方格式文本为准，不得自拟</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投资主体关于项目备案的请示文件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投资主体红头文件，载明文号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红头请示为发改线实操要求；行文模板见本包02《境外投资项目备案申请报告（致省级发展改革部门）》</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项目备案表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在线系统填报生成并打印盖章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以系统生成版本为准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投资主体最新经审计财务报表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会计师事务所出具的审计报告，实操通常为最近一个年度</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投资主体营业执照</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复印件加盖公章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6</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投资协议或类似文件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具有法律约束力的协议或类似文件，已签署文本</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意向书可否据以启动备案见第五部分第四项；模板见本包04《境外投资意向书（LOI）》</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7</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投资决策文件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董事会决议/股东会决议等，按公司章程权限出具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模板见本包01《境外投资立项决策文件套件（股东会决议·董事会决议·授权委托书）》；决议口径须与申报文件逐字一致</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8</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股权架构图</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投资主体自制并盖章，追溯至最终实际控制人</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层级须与商务线、外汇线申报一致</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9</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资金来源真实合规支持性文件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银行资信证明、验资报告等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与请示文件中资金来源说明对应</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10</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授权委托书</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投资主体出具，载明受托人、权限与期限</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模板见本包01文件三《授权委托书》</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法定代表人身份证件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复印件加盖公章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120" w:before="240" w:line="340"/>
        <w:jc w:val="left"/>
      </w:pPr>
      <w:r>
        <w:rPr>
          <w:rFonts w:ascii="Times New Roman" w:eastAsia="SimHei" w:hAnsi="Times New Roman"/>
          <w:b/>
          <w:bCs/>
          <w:i w:val="false"/>
          <w:iCs w:val="false"/>
          <w:sz w:val="28"/>
          <w:szCs w:val="28"/>
        </w:rPr>
        <w:t xml:space="preserve">第三部分 商务线备案材料清单</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【拟稿注：依据《境外投资管理办法》（商务部令2014年第3号）；《企业境外投资证书》按境外投资最终目的地颁发，经境外平台公司再投资形成新的最终目的地企业的，须为最终目的地企业另行办理手续。】</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材料</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来源与形式要求</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备注</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《境外投资备案表》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在线系统填写、打印并加盖公章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以系统生成版本为准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营业执照复印件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加盖公章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设立/并购相关章程（或合同、协议）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已签署文本；外文文件附中文翻译件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真实性审查材料之一</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董事会决议或出资决议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按公司章程权限出具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与发改线投资决策文件同一套口径</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财务报表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投资主体近期财务报表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真实性审查材料之一</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6</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前期工作落实情况说明</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投资主体出具，含可行性研究报告、投资资金来源说明、投资环境分析评价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投资环境分析评价可利用本包06《境外子公司设立信息采集表》的采集与核验结果</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7</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境外投资真实性承诺书</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系统下载格式文本，签字盖章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以系统版本为准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8</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尽职调查报告（并购类附加）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并购类备案硬性材料，应在申报前完成</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范围统筹见本包07《跨境并购尽职调查清单》</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9</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《境外并购事项前期报告表》（并购类附加）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官方格式文本</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以官方格式文本为准</w:t>
            </w:r>
          </w:p>
        </w:tc>
      </w:tr>
    </w:tbl>
    <w:p>
      <w:pPr>
        <w:keepNext/>
        <w:spacing w:after="120" w:before="240" w:line="340"/>
        <w:jc w:val="left"/>
      </w:pPr>
      <w:r>
        <w:rPr>
          <w:rFonts w:ascii="Times New Roman" w:eastAsia="SimHei" w:hAnsi="Times New Roman"/>
          <w:b/>
          <w:bCs/>
          <w:i w:val="false"/>
          <w:iCs w:val="false"/>
          <w:sz w:val="28"/>
          <w:szCs w:val="28"/>
        </w:rPr>
        <w:t xml:space="preserve">第四部分 外汇线材料清单（银行办理）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据国家外汇管理局关于发布《境内机构境外直接投资外汇管理规定》的通知（汇发〔2009〕30号）及《资本项目外汇业务指引（2024年版）》（汇发〔2024〕12号）；现行实操由银行按国家外汇管理局授权直接办理外汇登记并颁发业务登记凭证。】</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材料</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来源与形式要求</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备注</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境外直接投资外汇登记业务申请表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银行提供格式，填写盖章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资金来源说明</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投资主体出具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与发改线、商务线申报口径一致</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营业执照</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复印件加盖公章</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发改核准文件/备案通知书及商务《企业境外投资证书》</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原件及复印件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外汇登记以两线手续完成为前提</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前期费用汇出的说明与凭证（如有）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投资主体说明及对应付款凭证</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6</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银行要求的其他材料</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按经办银行审核要求补充</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大额投资由银行按要求向外汇管理部门汇报后办理（实操口径）</w:t>
            </w:r>
          </w:p>
        </w:tc>
      </w:tr>
    </w:tbl>
    <w:p>
      <w:pPr>
        <w:keepNext/>
        <w:spacing w:after="120" w:before="240" w:line="340"/>
        <w:jc w:val="left"/>
      </w:pPr>
      <w:r>
        <w:rPr>
          <w:rFonts w:ascii="Times New Roman" w:eastAsia="SimHei" w:hAnsi="Times New Roman"/>
          <w:b/>
          <w:bCs/>
          <w:i w:val="false"/>
          <w:iCs w:val="false"/>
          <w:sz w:val="28"/>
          <w:szCs w:val="28"/>
        </w:rPr>
        <w:t xml:space="preserve">第五部分 时序要点（法定与实操口径逐项对照）</w:t>
      </w:r>
    </w:p>
    <w:p>
      <w:pPr>
        <w:spacing w:after="40" w:before="40" w:line="320"/>
        <w:ind w:firstLine="480"/>
        <w:jc w:val="both"/>
      </w:pPr>
      <w:r>
        <w:rPr>
          <w:rFonts w:ascii="Times New Roman" w:eastAsia="SimSun" w:hAnsi="Times New Roman"/>
          <w:b w:val="false"/>
          <w:bCs w:val="false"/>
          <w:i w:val="false"/>
          <w:iCs w:val="false"/>
          <w:sz w:val="24"/>
          <w:szCs w:val="24"/>
        </w:rPr>
        <w:t xml:space="preserve">一、先证后投【法定】：投资主体应当在项目实施前（即投入资产、权益或提供融资、担保之前）取得核准文件或备案通知书；未取得的，外汇、海关等部门依法不予办理相关手续，金融企业不予办理资金结算和融资业务（《企业境外投资管理办法》第32条、第33条）。</w:t>
      </w:r>
    </w:p>
    <w:p>
      <w:pPr>
        <w:spacing w:after="40" w:before="40" w:line="320"/>
        <w:ind w:firstLine="480"/>
        <w:jc w:val="both"/>
      </w:pPr>
      <w:r>
        <w:rPr>
          <w:rFonts w:ascii="Times New Roman" w:eastAsia="SimSun" w:hAnsi="Times New Roman"/>
          <w:b w:val="false"/>
          <w:bCs w:val="false"/>
          <w:i w:val="false"/>
          <w:iCs w:val="false"/>
          <w:sz w:val="24"/>
          <w:szCs w:val="24"/>
        </w:rPr>
        <w:t xml:space="preserve">二、三线同步【实操通常】：发改与商务两线审查相互独立，可同时启动、分别报送；决议、财务报表、营业执照等重合材料一次备齐、两线共用。</w:t>
      </w:r>
    </w:p>
    <w:p>
      <w:pPr>
        <w:spacing w:after="40" w:before="40" w:line="320"/>
        <w:ind w:firstLine="480"/>
        <w:jc w:val="both"/>
      </w:pPr>
      <w:r>
        <w:rPr>
          <w:rFonts w:ascii="Times New Roman" w:eastAsia="SimSun" w:hAnsi="Times New Roman"/>
          <w:b w:val="false"/>
          <w:bCs w:val="false"/>
          <w:i w:val="false"/>
          <w:iCs w:val="false"/>
          <w:sz w:val="24"/>
          <w:szCs w:val="24"/>
        </w:rPr>
        <w:t xml:space="preserve">三、先核名再备案【部分省级商务主管部门实操建议】：法规未强制备案与设立境外公司的先后顺序，但建议先备案再设立；至少先完成境外公司核名再备案，避免公司名称变化触发备案变更。</w:t>
      </w:r>
    </w:p>
    <w:p>
      <w:pPr>
        <w:spacing w:after="40" w:before="40" w:line="320"/>
        <w:ind w:firstLine="480"/>
        <w:jc w:val="both"/>
      </w:pPr>
      <w:r>
        <w:rPr>
          <w:rFonts w:ascii="Times New Roman" w:eastAsia="SimSun" w:hAnsi="Times New Roman"/>
          <w:b w:val="false"/>
          <w:bCs w:val="false"/>
          <w:i w:val="false"/>
          <w:iCs w:val="false"/>
          <w:sz w:val="24"/>
          <w:szCs w:val="24"/>
        </w:rPr>
        <w:t xml:space="preserve">四、意向书额度启动【部分省级主管部门实操口径】：签署意向书后即可启动备案，前提是意向书已确定大致汇出资金额度；正式并购协议并非备案必要文件。均以项目所在地主管部门意见为准。</w:t>
      </w:r>
    </w:p>
    <w:p>
      <w:pPr>
        <w:spacing w:after="40" w:before="40" w:line="320"/>
        <w:ind w:firstLine="480"/>
        <w:jc w:val="both"/>
      </w:pPr>
      <w:r>
        <w:rPr>
          <w:rFonts w:ascii="Times New Roman" w:eastAsia="SimSun" w:hAnsi="Times New Roman"/>
          <w:b w:val="false"/>
          <w:bCs w:val="false"/>
          <w:i w:val="false"/>
          <w:iCs w:val="false"/>
          <w:sz w:val="24"/>
          <w:szCs w:val="24"/>
        </w:rPr>
        <w:t xml:space="preserve">五、尽职调查前置【法定材料要求】：并购类商务备案须提交尽职调查报告，尽职调查应在备案申报前完成（见本包07《跨境并购尽职调查清单》）。</w:t>
      </w:r>
    </w:p>
    <w:p>
      <w:pPr>
        <w:spacing w:after="40" w:before="40" w:line="320"/>
        <w:ind w:firstLine="480"/>
        <w:jc w:val="both"/>
      </w:pPr>
      <w:r>
        <w:rPr>
          <w:rFonts w:ascii="Times New Roman" w:eastAsia="SimSun" w:hAnsi="Times New Roman"/>
          <w:b w:val="false"/>
          <w:bCs w:val="false"/>
          <w:i w:val="false"/>
          <w:iCs w:val="false"/>
          <w:sz w:val="24"/>
          <w:szCs w:val="24"/>
        </w:rPr>
        <w:t xml:space="preserve">六、证书类型选择【商务部门实操口径】：境外子公司仅作为投资平台的，选择"并购"备案；平台之外还开展实际业务的，先"新设"备案再"并购"备案，具体以主管部门意见为准。</w:t>
      </w:r>
    </w:p>
    <w:p>
      <w:pPr>
        <w:spacing w:after="40" w:before="40" w:line="320"/>
        <w:ind w:firstLine="480"/>
        <w:jc w:val="both"/>
      </w:pPr>
      <w:r>
        <w:rPr>
          <w:rFonts w:ascii="Times New Roman" w:eastAsia="SimSun" w:hAnsi="Times New Roman"/>
          <w:b w:val="false"/>
          <w:bCs w:val="false"/>
          <w:i w:val="false"/>
          <w:iCs w:val="false"/>
          <w:sz w:val="24"/>
          <w:szCs w:val="24"/>
        </w:rPr>
        <w:t xml:space="preserve">七、变更前置【法定】：已备案项目发生投资主体增减、投资地点重大变化、主要内容和规模重大变化、中方投资额变化幅度达到或超过20%或变化1亿美元及以上、其他重大调整五类情形的，应当在情形发生前申请变更（《企业境外投资管理办法》第34条）；持续义务见本包08《境外投资后续合规义务清单》。</w:t>
      </w:r>
    </w:p>
    <w:p>
      <w:pPr>
        <w:spacing w:after="40" w:before="40" w:line="320"/>
        <w:ind w:firstLine="480"/>
        <w:jc w:val="both"/>
      </w:pPr>
      <w:r>
        <w:rPr>
          <w:rFonts w:ascii="Times New Roman" w:eastAsia="SimSun" w:hAnsi="Times New Roman"/>
          <w:b w:val="false"/>
          <w:bCs w:val="false"/>
          <w:i w:val="false"/>
          <w:iCs w:val="false"/>
          <w:sz w:val="24"/>
          <w:szCs w:val="24"/>
        </w:rPr>
        <w:t xml:space="preserve">八、证书有效期与交易节奏【法定】：《企业境外投资证书》有效期2年，交易时间表与交割排期应与之匹配（衔接本包04《境外投资意向书（LOI）》时间表条款）。</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清单不构成对备案结果或办理时限的承诺；法定时限为主管部门审核时限，不含材料补正时间。限制类项目（含在境外设立无具体实业项目的股权投资基金或投资平台，见《国务院办公厅转发国家发展改革委商务部人民银行外交部关于进一步引导和规范境外投资方向指导意见的通知》（国办发〔2017〕74号））及涉境外并购基金/SPC出境的结构，应在交易结构设计前先与省级发展改革部门沟通定性。】</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05_ODI备案材料与流程清单</dc:title>
  <dc:creator>谭棉花律师法律文书库</dc:creator>
  <cp:lastModifiedBy>Un-named</cp:lastModifiedBy>
  <cp:revision>1</cp:revision>
  <dcterms:created xsi:type="dcterms:W3CDTF">2026-07-19T07:53:20.731Z</dcterms:created>
  <dcterms:modified xsi:type="dcterms:W3CDTF">2026-07-19T07:53:20.731Z</dcterms:modified>
</cp:coreProperties>
</file>

<file path=docProps/custom.xml><?xml version="1.0" encoding="utf-8"?>
<Properties xmlns="http://schemas.openxmlformats.org/officeDocument/2006/custom-properties" xmlns:vt="http://schemas.openxmlformats.org/officeDocument/2006/docPropsVTypes"/>
</file>